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60" w:type="dxa"/>
        <w:jc w:val="left"/>
        <w:tblInd w:w="51" w:type="dxa"/>
        <w:tblLayout w:type="fixed"/>
        <w:tblCellMar>
          <w:top w:w="0" w:type="dxa"/>
          <w:left w:w="51" w:type="dxa"/>
          <w:bottom w:w="0" w:type="dxa"/>
          <w:right w:w="43" w:type="dxa"/>
        </w:tblCellMar>
      </w:tblPr>
      <w:tblGrid>
        <w:gridCol w:w="4680"/>
        <w:gridCol w:w="4680"/>
      </w:tblGrid>
      <w:tr>
        <w:trPr/>
        <w:tc>
          <w:tcPr>
            <w:tcW w:w="4680" w:type="dxa"/>
            <w:tcBorders/>
            <w:shd w:fill="auto" w:val="clear"/>
          </w:tcPr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Komornik Sądowy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przy Sądzie Rejonowym w Stalowej Woli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Norbert Węgrzyn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Kancelaria Komornicza nr I w Stalowej Woli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37-450 Stalowa Wola Targowa 16/6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dnia 04-08-2026r.  /SC/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 xml:space="preserve"> </w:t>
            </w: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>Km 701/25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16"/>
                <w:u w:val="none"/>
              </w:rPr>
              <w:t xml:space="preserve">  </w:t>
            </w:r>
          </w:p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ascii="Arial" w:hAnsi="Arial"/>
                <w:b w:val="false"/>
                <w:bCs w:val="false"/>
                <w:u w:val="none"/>
              </w:rPr>
            </w:r>
          </w:p>
        </w:tc>
        <w:tc>
          <w:tcPr>
            <w:tcW w:w="4680" w:type="dxa"/>
            <w:tcBorders/>
            <w:shd w:fill="auto" w:val="clear"/>
          </w:tcPr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 w:eastAsia="Calibri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u w:val="none"/>
              </w:rPr>
            </w:r>
          </w:p>
        </w:tc>
      </w:tr>
      <w:tr>
        <w:trPr/>
        <w:tc>
          <w:tcPr>
            <w:tcW w:w="4680" w:type="dxa"/>
            <w:tcBorders/>
            <w:shd w:fill="auto" w:val="clear"/>
          </w:tcPr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20"/>
                <w:u w:val="none"/>
              </w:rPr>
              <w:t xml:space="preserve"> </w:t>
            </w:r>
            <w:r>
              <w:rPr>
                <w:rFonts w:eastAsia="Calibri" w:ascii="Arial" w:hAnsi="Arial"/>
                <w:b w:val="false"/>
                <w:bCs w:val="false"/>
                <w:sz w:val="12"/>
                <w:u w:val="none"/>
              </w:rPr>
              <w:t xml:space="preserve"> 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sz w:val="14"/>
                <w:u w:val="none"/>
              </w:rPr>
              <w:t xml:space="preserve">                                        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sz w:val="14"/>
                <w:u w:val="none"/>
              </w:rPr>
              <w:t>#NW *0020002977618*/N0177/</w:t>
            </w:r>
          </w:p>
        </w:tc>
        <w:tc>
          <w:tcPr>
            <w:tcW w:w="4680" w:type="dxa"/>
            <w:tcBorders/>
            <w:shd w:fill="auto" w:val="clear"/>
          </w:tcPr>
          <w:p>
            <w:pPr>
              <w:pStyle w:val="Normal1"/>
              <w:widowControl/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3 of 9 Barcode" w:ascii="Arial" w:hAnsi="Arial"/>
                <w:b w:val="false"/>
                <w:bCs w:val="false"/>
                <w:sz w:val="20"/>
                <w:u w:val="none"/>
              </w:rPr>
              <w:t>*0020002977618*</w:t>
            </w:r>
            <w:r>
              <w:rPr>
                <w:rFonts w:eastAsia="Times New Roman" w:ascii="Arial" w:hAnsi="Arial"/>
                <w:b w:val="false"/>
                <w:bCs w:val="false"/>
                <w:color w:val="000000"/>
                <w:sz w:val="12"/>
                <w:u w:val="none"/>
              </w:rPr>
              <w:t xml:space="preserve"> </w:t>
            </w:r>
          </w:p>
        </w:tc>
      </w:tr>
    </w:tbl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 w:eastAsia="Times New Roman"/>
          <w:b w:val="false"/>
          <w:bCs w:val="false"/>
          <w:sz w:val="12"/>
          <w:u w:val="none"/>
        </w:rPr>
      </w:pPr>
      <w:r>
        <w:rPr>
          <w:rFonts w:eastAsia="Times New Roman" w:ascii="Arial" w:hAnsi="Arial"/>
          <w:b w:val="false"/>
          <w:bCs w:val="false"/>
          <w:sz w:val="12"/>
          <w:u w:val="none"/>
        </w:rPr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center"/>
        <w:rPr>
          <w:rFonts w:ascii="Arial" w:hAnsi="Arial"/>
          <w:b w:val="false"/>
          <w:bCs w:val="false"/>
          <w:u w:val="none"/>
        </w:rPr>
      </w:pPr>
      <w:r>
        <w:rPr>
          <w:rFonts w:eastAsia="Times New Roman" w:ascii="Arial" w:hAnsi="Arial"/>
          <w:b w:val="false"/>
          <w:bCs w:val="false"/>
          <w:sz w:val="12"/>
          <w:u w:val="none"/>
        </w:rPr>
        <w:t xml:space="preserve"> </w:t>
      </w:r>
      <w:r>
        <w:rPr>
          <w:rFonts w:eastAsia="Calibri" w:ascii="Arial" w:hAnsi="Arial"/>
          <w:b w:val="false"/>
          <w:bCs w:val="false"/>
          <w:color w:val="000000"/>
          <w:u w:val="none"/>
        </w:rPr>
        <w:t xml:space="preserve">OBWIESZCZENIE  O  LICYTACJI  NIERUCHOMOŚCI 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 w:eastAsia="Calibri"/>
          <w:b w:val="false"/>
          <w:bCs w:val="false"/>
          <w:color w:val="000000"/>
          <w:sz w:val="20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Komornik Sądowy przy Sądzie Rejonowym w Stalowej Woli Norbert Węgrzyn podaje do publicznej wiadomości, że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w dniu 28-10-2026 r. o godz. 10:00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w budynku Sądu Rejonowego w Stalowej Woli mającego siedzibę pod adresem ul. Popiełuszki 16, 37-450 Stalowa Wola w sali nr  9, odbędzie się pierwsza licytacja nieruchomości  zabudowanej budynkiem mieszkalnym  położonej  pod adresem: 37-450 Stalowa Wola ul. Jana III Sobierskiego 8, dla której Sąd Rejonowy w Stalowej Woli V Wydział Ksiąg Wieczystych prowadzi księgę wieczystą o numerze TB1S/00059163/8 stanowiącej działkę o numerze 453 o powierzchni 0,0093 ha,  zabudowanej budynkiem mieszkalnym o powierzchni użytkowej 128,84 m</w:t>
      </w:r>
      <w:r>
        <w:rPr>
          <w:rFonts w:eastAsia="Calibri" w:ascii="Arial" w:hAnsi="Arial"/>
          <w:b w:val="false"/>
          <w:bCs w:val="false"/>
          <w:color w:val="000000"/>
          <w:position w:val="6"/>
          <w:sz w:val="12"/>
          <w:u w:val="none"/>
        </w:rPr>
        <w:t>2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, będącej  własnością dłużnika: Sylwia Wittwer.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Zgodnie z miejskim planem zagospodarowania przestrzennego nieruchomość położona jest na obszarze oznaczonym jako zabudowa mieszkaniowo usługowa 12MU.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 w:eastAsia="Calibri"/>
          <w:b w:val="false"/>
          <w:bCs w:val="false"/>
          <w:color w:val="000000"/>
          <w:sz w:val="20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Nieruchomość oszacowana jest na kwotę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351 830,00 zł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. 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Cena wywołania wynosi trzy czwarte wartości szacunkowej tj. kwotę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 263 872,50 zł.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 w:eastAsia="Calibri"/>
          <w:b w:val="false"/>
          <w:bCs w:val="false"/>
          <w:sz w:val="20"/>
          <w:u w:val="none"/>
        </w:rPr>
      </w:pPr>
      <w:r>
        <w:rPr>
          <w:rFonts w:eastAsia="Calibri" w:ascii="Arial" w:hAnsi="Arial"/>
          <w:b w:val="false"/>
          <w:bCs w:val="false"/>
          <w:sz w:val="20"/>
          <w:u w:val="none"/>
        </w:rPr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eastAsia="Calibri" w:ascii="Arial" w:hAnsi="Arial"/>
          <w:b w:val="false"/>
          <w:bCs w:val="false"/>
          <w:sz w:val="20"/>
          <w:u w:val="none"/>
        </w:rPr>
        <w:t xml:space="preserve">Przystępujący do przetargu obowiązany jest złożyć rękojmię w wysokości jednej dziesiątej części sumy oszacowania to jest 35 183,00 zł najpóźniej w dniu poprzedzającym przetarg. 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eastAsia="Calibri" w:ascii="Arial" w:hAnsi="Arial"/>
          <w:b w:val="false"/>
          <w:bCs w:val="false"/>
          <w:sz w:val="20"/>
          <w:u w:val="none"/>
        </w:rPr>
        <w:t xml:space="preserve">Rękojmię należy złożyć na rachunek bankowy komornika: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BNP Paribas Bank Polska Spółka Akcyjna 29 1600 1462 1885 8354 9000 0004</w:t>
      </w:r>
      <w:r>
        <w:rPr>
          <w:rFonts w:eastAsia="Calibri" w:ascii="Arial" w:hAnsi="Arial"/>
          <w:b w:val="false"/>
          <w:bCs w:val="false"/>
          <w:sz w:val="20"/>
          <w:u w:val="none"/>
        </w:rPr>
        <w:t xml:space="preserve"> lub w gotówce w kancelarii komornika. Rękojmia może być również złożona w książeczce oszczędnościowej zaopatrzonej w upoważnienie właściciela książeczki do wypłaty całego wkładu stosownie do prawomocnego postanowienia sądu o utracie rękojmi.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W ciągu dwóch ostatnich tygodni przed licytacją wolno oglądać lokal w dni powszednie od godz. 8.00 do godz. 16.00. W Sądzie Rejonowym w Stalowej Woli ( 2 tygodnie przed licytacją ) oraz kancelarii komornika można przeglądać protokół opisu i oszacowania (należy powołać się na sygnaturę akt sądowych: </w:t>
      </w:r>
      <w:r>
        <w:rPr>
          <w:rFonts w:eastAsia="Calibri" w:ascii="Arial" w:hAnsi="Arial"/>
          <w:b w:val="false"/>
          <w:bCs w:val="false"/>
          <w:sz w:val="20"/>
          <w:u w:val="none"/>
        </w:rPr>
        <w:t>I Co 797/25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>).</w:t>
      </w:r>
      <w:r>
        <w:rPr>
          <w:rFonts w:eastAsia="Calibri" w:ascii="Arial" w:hAnsi="Arial"/>
          <w:b w:val="false"/>
          <w:bCs w:val="false"/>
          <w:sz w:val="20"/>
          <w:u w:val="none"/>
        </w:rPr>
        <w:t xml:space="preserve"> W przetargu nie mogą uczestniczyć: dłużnik, komornik, ich małżonkowie, dzieci, rodzice i rodzeństwo oraz osoby obecne na licytacji w charakterze urzędowym, licytant, który nie wykonał warunków poprzedniej licytacji, osoby, które mogą nabyć nieruchomość tylko za zezwoleniem organu państwowego, a zezwolenia tego nie przedstawiły.  Stawienie się jednego licytanta wystarcza do odbycia przetargu. Pełnomocnictwo do udziału w przetargu powinno być stwierdzone dokumentem z podpisem urzędowo poświadczonym. Podpisy na pełnomocnictwach udzielonych przez państwowe jednostki organizacyjne lub jednostki organizacyjne samorządu terytorialnego oraz na pełnomocnictwach udzielonych adwokatom lub radcom prawnym nie wymagają poświadczenia.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 Prawa osób trzecich nie będą przeszkodą do przeprowadzenia licytacji i przybicia na rzecz nabywcy bez zastrzeżeń, jeżeli osoby te przed rozpoczęciem przetargu nie złożą dowodu, że wniosły powództwo o zwolnienie</w:t>
      </w:r>
      <w:r>
        <w:rPr>
          <w:rFonts w:eastAsia="Calibri" w:ascii="Arial" w:hAnsi="Arial"/>
          <w:b w:val="false"/>
          <w:bCs w:val="false"/>
          <w:sz w:val="20"/>
          <w:u w:val="none"/>
        </w:rPr>
        <w:t xml:space="preserve"> nieruchomości lub przedmiotów razem z nią zajętych od egzekucji i uzyskały w  tym zakresie orzeczenie wstrzymujące egzekucję. </w:t>
      </w: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  <w:t xml:space="preserve"> </w:t>
      </w:r>
      <w:r>
        <w:rPr>
          <w:rFonts w:eastAsia="Calibri" w:ascii="Arial" w:hAnsi="Arial"/>
          <w:b w:val="false"/>
          <w:bCs w:val="false"/>
          <w:sz w:val="20"/>
          <w:u w:val="none"/>
        </w:rPr>
        <w:t>Użytkowanie, służebności i prawa dożywotnika, jeżeli nie są ujawnione w księdze wieczystej lub przez złożenie dokumentu do zbioru dokumentów i nie zostaną zgłoszone najpóźniej na trzy dni przed rozpoczęciem licytacji, nie będą uwzględnione w dalszym toku egzekucji i wygasną z chwilą uprawomocnienia się postanowienia o przysądzeniu własności.</w:t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 w:eastAsia="Calibri"/>
          <w:b w:val="false"/>
          <w:bCs w:val="false"/>
          <w:sz w:val="20"/>
          <w:u w:val="none"/>
        </w:rPr>
      </w:pPr>
      <w:r>
        <w:rPr>
          <w:rFonts w:eastAsia="Calibri" w:ascii="Arial" w:hAnsi="Arial"/>
          <w:b w:val="false"/>
          <w:bCs w:val="false"/>
          <w:sz w:val="20"/>
          <w:u w:val="none"/>
        </w:rPr>
      </w:r>
    </w:p>
    <w:p>
      <w:pPr>
        <w:pStyle w:val="Normal1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  <w:tab w:val="left" w:pos="566" w:leader="none"/>
          <w:tab w:val="left" w:pos="1132" w:leader="none"/>
          <w:tab w:val="left" w:pos="1698" w:leader="none"/>
          <w:tab w:val="left" w:pos="2264" w:leader="none"/>
          <w:tab w:val="left" w:pos="2830" w:leader="none"/>
          <w:tab w:val="left" w:pos="3396" w:leader="none"/>
          <w:tab w:val="left" w:pos="3962" w:leader="none"/>
          <w:tab w:val="left" w:pos="4528" w:leader="none"/>
          <w:tab w:val="left" w:pos="5094" w:leader="none"/>
          <w:tab w:val="left" w:pos="5660" w:leader="none"/>
          <w:tab w:val="left" w:pos="6226" w:leader="none"/>
          <w:tab w:val="left" w:pos="6792" w:leader="none"/>
          <w:tab w:val="left" w:pos="7358" w:leader="none"/>
          <w:tab w:val="left" w:pos="7924" w:leader="none"/>
        </w:tabs>
        <w:bidi w:val="0"/>
        <w:spacing w:lineRule="auto" w:line="276"/>
        <w:jc w:val="left"/>
        <w:rPr>
          <w:rFonts w:ascii="Arial" w:hAnsi="Arial" w:eastAsia="Calibri"/>
          <w:b w:val="false"/>
          <w:bCs w:val="false"/>
          <w:color w:val="000000"/>
          <w:sz w:val="20"/>
          <w:u w:val="none"/>
        </w:rPr>
      </w:pPr>
      <w:r>
        <w:rPr>
          <w:rFonts w:eastAsia="Calibri" w:ascii="Arial" w:hAnsi="Arial"/>
          <w:b w:val="false"/>
          <w:bCs w:val="false"/>
          <w:color w:val="000000"/>
          <w:sz w:val="20"/>
          <w:u w:val="none"/>
        </w:rPr>
      </w:r>
    </w:p>
    <w:tbl>
      <w:tblPr>
        <w:tblW w:w="5400" w:type="dxa"/>
        <w:jc w:val="left"/>
        <w:tblInd w:w="4011" w:type="dxa"/>
        <w:tblLayout w:type="fixed"/>
        <w:tblCellMar>
          <w:top w:w="0" w:type="dxa"/>
          <w:left w:w="51" w:type="dxa"/>
          <w:bottom w:w="0" w:type="dxa"/>
          <w:right w:w="43" w:type="dxa"/>
        </w:tblCellMar>
      </w:tblPr>
      <w:tblGrid>
        <w:gridCol w:w="5400"/>
      </w:tblGrid>
      <w:tr>
        <w:trPr/>
        <w:tc>
          <w:tcPr>
            <w:tcW w:w="5400" w:type="dxa"/>
            <w:tcBorders/>
            <w:shd w:fill="auto" w:val="clear"/>
          </w:tcPr>
          <w:p>
            <w:pPr>
              <w:pStyle w:val="Normal1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</w:tabs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20"/>
                <w:u w:val="none"/>
              </w:rPr>
              <w:t xml:space="preserve"> </w:t>
            </w:r>
            <w:r>
              <w:rPr>
                <w:rFonts w:eastAsia="Calibri" w:ascii="Arial" w:hAnsi="Arial"/>
                <w:b w:val="false"/>
                <w:bCs w:val="false"/>
                <w:color w:val="000000"/>
                <w:sz w:val="20"/>
                <w:u w:val="none"/>
              </w:rPr>
              <w:t>Komornik Sądowy</w:t>
            </w:r>
          </w:p>
        </w:tc>
      </w:tr>
      <w:tr>
        <w:trPr/>
        <w:tc>
          <w:tcPr>
            <w:tcW w:w="5400" w:type="dxa"/>
            <w:tcBorders/>
            <w:shd w:fill="auto" w:val="clear"/>
          </w:tcPr>
          <w:p>
            <w:pPr>
              <w:pStyle w:val="Normal1"/>
              <w:tabs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  <w:tab w:val="clear" w:pos="10206"/>
                <w:tab w:val="clear" w:pos="11340"/>
                <w:tab w:val="clear" w:pos="12474"/>
                <w:tab w:val="clear" w:pos="13608"/>
                <w:tab w:val="clear" w:pos="14742"/>
                <w:tab w:val="clear" w:pos="15876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</w:tabs>
              <w:bidi w:val="0"/>
              <w:spacing w:lineRule="auto" w:line="276"/>
              <w:jc w:val="left"/>
              <w:rPr>
                <w:rFonts w:ascii="Arial" w:hAnsi="Arial"/>
                <w:b w:val="false"/>
                <w:bCs w:val="false"/>
                <w:u w:val="none"/>
              </w:rPr>
            </w:pPr>
            <w:r>
              <w:rPr>
                <w:rFonts w:eastAsia="Calibri" w:ascii="Arial" w:hAnsi="Arial"/>
                <w:b w:val="false"/>
                <w:bCs w:val="false"/>
                <w:sz w:val="20"/>
                <w:u w:val="none"/>
              </w:rPr>
              <w:t xml:space="preserve"> </w:t>
            </w:r>
            <w:r>
              <w:rPr>
                <w:rFonts w:eastAsia="Calibri" w:ascii="Arial" w:hAnsi="Arial"/>
                <w:b w:val="false"/>
                <w:bCs w:val="false"/>
                <w:i/>
                <w:color w:val="000000"/>
                <w:sz w:val="20"/>
                <w:u w:val="none"/>
              </w:rPr>
              <w:t>Norbert Węgrzyn</w:t>
            </w:r>
          </w:p>
        </w:tc>
      </w:tr>
    </w:tbl>
    <w:p>
      <w:pPr>
        <w:pStyle w:val="Normal1"/>
        <w:bidi w:val="0"/>
        <w:spacing w:lineRule="auto" w:line="276"/>
        <w:jc w:val="left"/>
        <w:rPr>
          <w:rFonts w:ascii="Arial" w:hAnsi="Arial"/>
          <w:b w:val="false"/>
          <w:bCs w:val="false"/>
          <w:u w:val="none"/>
        </w:rPr>
      </w:pPr>
      <w:r>
        <w:rPr>
          <w:rFonts w:ascii="Arial" w:hAnsi="Arial"/>
          <w:b w:val="false"/>
          <w:bCs w:val="false"/>
          <w:u w:val="none"/>
        </w:rPr>
      </w:r>
    </w:p>
    <w:p>
      <w:pPr>
        <w:pStyle w:val="Normal1"/>
        <w:bidi w:val="0"/>
        <w:spacing w:lineRule="auto" w:line="276"/>
        <w:jc w:val="left"/>
        <w:rPr>
          <w:rFonts w:ascii="Arial" w:hAnsi="Arial" w:eastAsia="Calibri"/>
          <w:b w:val="false"/>
          <w:bCs w:val="false"/>
          <w:sz w:val="20"/>
          <w:u w:val="none"/>
        </w:rPr>
      </w:pPr>
      <w:r>
        <w:rPr>
          <w:rFonts w:eastAsia="Calibri" w:ascii="Arial" w:hAnsi="Arial"/>
          <w:b w:val="false"/>
          <w:bCs w:val="false"/>
          <w:sz w:val="20"/>
          <w:u w:val="none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850" w:gutter="0" w:header="567" w:top="850" w:footer="567" w:bottom="79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Arial">
    <w:charset w:val="01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bidi w:val="0"/>
      <w:jc w:val="center"/>
      <w:rPr/>
    </w:pPr>
    <w:r>
      <w:rPr>
        <w:rFonts w:eastAsia="Times New Roman" w:ascii="Times New Roman" w:hAnsi="Times New Roman"/>
      </w:rPr>
      <w:fldChar w:fldCharType="begin"/>
    </w:r>
    <w:r>
      <w:rPr>
        <w:rFonts w:eastAsia="Times New Roman" w:ascii="Times New Roman" w:hAnsi="Times New Roman"/>
      </w:rPr>
      <w:instrText xml:space="preserve"> PAGE \* ARABIC </w:instrText>
    </w:r>
    <w:r>
      <w:rPr>
        <w:rFonts w:eastAsia="Times New Roman" w:ascii="Times New Roman" w:hAnsi="Times New Roman"/>
      </w:rPr>
      <w:fldChar w:fldCharType="separate"/>
    </w:r>
    <w:r>
      <w:rPr>
        <w:rFonts w:eastAsia="Times New Roman" w:ascii="Times New Roman" w:hAnsi="Times New Roman"/>
      </w:rPr>
      <w:t>1</w:t>
    </w:r>
    <w:r>
      <w:rPr>
        <w:rFonts w:eastAsia="Times New Roman" w:ascii="Times New Roman" w:hAnsi="Times New Roman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bidi w:val="0"/>
      <w:jc w:val="center"/>
      <w:rPr/>
    </w:pPr>
    <w:r>
      <w:rPr>
        <w:rFonts w:eastAsia="Times New Roman" w:ascii="Times New Roman" w:hAnsi="Times New Roman"/>
      </w:rPr>
      <w:fldChar w:fldCharType="begin"/>
    </w:r>
    <w:r>
      <w:rPr>
        <w:rFonts w:eastAsia="Times New Roman" w:ascii="Times New Roman" w:hAnsi="Times New Roman"/>
      </w:rPr>
      <w:instrText xml:space="preserve"> PAGE \* ARABIC </w:instrText>
    </w:r>
    <w:r>
      <w:rPr>
        <w:rFonts w:eastAsia="Times New Roman" w:ascii="Times New Roman" w:hAnsi="Times New Roman"/>
      </w:rPr>
      <w:fldChar w:fldCharType="separate"/>
    </w:r>
    <w:r>
      <w:rPr>
        <w:rFonts w:eastAsia="Times New Roman" w:ascii="Times New Roman" w:hAnsi="Times New Roman"/>
      </w:rPr>
      <w:t>1</w:t>
    </w:r>
    <w:r>
      <w:rPr>
        <w:rFonts w:eastAsia="Times New Roman" w:ascii="Times New Roman" w:hAnsi="Times New Roman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bidi w:val="0"/>
      <w:spacing w:lineRule="auto" w:line="240" w:before="0" w:after="0"/>
      <w:ind w:hanging="0" w:left="0" w:right="0"/>
      <w:jc w:val="lef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bidi w:val="0"/>
      <w:spacing w:lineRule="auto" w:line="240" w:before="0" w:after="0"/>
      <w:ind w:hanging="0" w:left="0" w:right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adjustLineHeightInTable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Arial" w:hAnsi="Arial" w:eastAsia="NSimSun" w:cs="Arial"/>
      <w:color w:val="auto"/>
      <w:kern w:val="0"/>
      <w:sz w:val="24"/>
      <w:szCs w:val="20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1" w:default="1">
    <w:name w:val="[Normal]"/>
    <w:qFormat/>
    <w:pPr>
      <w:widowControl w:val="false"/>
      <w:tabs>
        <w:tab w:val="clear" w:pos="709"/>
        <w:tab w:val="left" w:pos="1134" w:leader="none"/>
        <w:tab w:val="left" w:pos="2268" w:leader="none"/>
        <w:tab w:val="left" w:pos="3402" w:leader="none"/>
        <w:tab w:val="left" w:pos="4536" w:leader="none"/>
        <w:tab w:val="left" w:pos="5670" w:leader="none"/>
        <w:tab w:val="left" w:pos="6804" w:leader="none"/>
        <w:tab w:val="left" w:pos="7938" w:leader="none"/>
        <w:tab w:val="left" w:pos="9072" w:leader="none"/>
        <w:tab w:val="left" w:pos="10206" w:leader="none"/>
        <w:tab w:val="left" w:pos="11340" w:leader="none"/>
        <w:tab w:val="left" w:pos="12474" w:leader="none"/>
        <w:tab w:val="left" w:pos="13608" w:leader="none"/>
        <w:tab w:val="left" w:pos="14742" w:leader="none"/>
        <w:tab w:val="left" w:pos="15876" w:leader="none"/>
      </w:tabs>
      <w:bidi w:val="0"/>
      <w:spacing w:lineRule="auto" w:line="240" w:before="0" w:after="0"/>
      <w:ind w:hanging="0" w:left="0" w:right="0"/>
      <w:jc w:val="left"/>
    </w:pPr>
    <w:rPr>
      <w:rFonts w:ascii="Arial" w:hAnsi="Arial" w:eastAsia="Arial" w:cs="Arial"/>
      <w:b w:val="false"/>
      <w:i w:val="false"/>
      <w:strike w:val="false"/>
      <w:dstrike w:val="false"/>
      <w:color w:val="auto"/>
      <w:kern w:val="0"/>
      <w:sz w:val="24"/>
      <w:szCs w:val="20"/>
      <w:shd w:fill="auto" w:val="clear"/>
      <w:lang w:val="pl-PL" w:eastAsia="zh-CN" w:bidi="hi-IN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Gwkaistopka"/>
    <w:pPr/>
    <w:rPr/>
  </w:style>
  <w:style w:type="paragraph" w:styleId="Footer">
    <w:name w:val="footer"/>
    <w:basedOn w:val="Gwkaistopka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1</Pages>
  <Words>484</Words>
  <Characters>3075</Characters>
  <CharactersWithSpaces>3606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2026-08-04T15:38:13Z</dcterms:modified>
  <cp:revision>1</cp:revision>
  <dc:subject/>
  <dc:title/>
</cp:coreProperties>
</file>