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left"/>
        <w:tblInd w:w="51" w:type="dxa"/>
        <w:tblLayout w:type="fixed"/>
        <w:tblCellMar>
          <w:top w:w="0" w:type="dxa"/>
          <w:left w:w="51" w:type="dxa"/>
          <w:bottom w:w="0" w:type="dxa"/>
          <w:right w:w="43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/>
            </w:pP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>Komornik Sądowy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/>
            </w:pP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>przy Sądzie Rejonowym w Stalowej Woli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/>
            </w:pP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>Norbert Węgrzyn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/>
            </w:pP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>Kancelaria Komornicza nr I w Stalowej Woli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/>
            </w:pP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>37-450 Stalowa Wola Targowa 16/6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/>
            </w:pP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>dnia 08-05-2026r.  /NW/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/>
            </w:pP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 xml:space="preserve"> </w:t>
            </w:r>
            <w:r>
              <w:rPr>
                <w:rFonts w:eastAsia="Calibri"/>
                <w:b w:val="false"/>
                <w:bCs w:val="false"/>
                <w:sz w:val="16"/>
                <w:u w:val="none"/>
              </w:rPr>
              <w:t>Km 416/24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/>
            </w:pPr>
            <w:r>
              <w:rPr/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 w:eastAsia="Calibri"/>
                <w:b w:val="false"/>
                <w:b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u w:val="none"/>
              </w:rPr>
            </w:r>
          </w:p>
        </w:tc>
      </w:tr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/>
            </w:pPr>
            <w:r>
              <w:rPr/>
            </w:r>
          </w:p>
        </w:tc>
      </w:tr>
    </w:tbl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center"/>
        <w:rPr/>
      </w:pPr>
      <w:r>
        <w:rPr>
          <w:rFonts w:eastAsia="Calibri"/>
          <w:b w:val="false"/>
          <w:bCs w:val="false"/>
          <w:color w:val="000000"/>
          <w:u w:val="none"/>
        </w:rPr>
        <w:t>OBWIESZCZENIE O SPRZEDAŻY</w:t>
      </w:r>
      <w:r>
        <w:rPr>
          <w:rFonts w:eastAsia="Calibri"/>
          <w:b w:val="false"/>
          <w:bCs w:val="false"/>
          <w:u w:val="none"/>
        </w:rPr>
        <w:t xml:space="preserve"> NIERUCHOMOŚCI W DRODZE LICYTACJI ELEKTRONICZNEJ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 w:eastAsia="Calibri"/>
          <w:b w:val="false"/>
          <w:bCs w:val="false"/>
          <w:color w:val="000000"/>
          <w:sz w:val="16"/>
          <w:u w:val="none"/>
        </w:rPr>
      </w:pPr>
      <w:r>
        <w:rPr>
          <w:rFonts w:eastAsia="Calibri"/>
          <w:b w:val="false"/>
          <w:bCs w:val="false"/>
          <w:color w:val="000000"/>
          <w:sz w:val="16"/>
          <w:u w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bidi w:val="0"/>
        <w:spacing w:lineRule="auto" w:line="276"/>
        <w:jc w:val="left"/>
        <w:rPr/>
      </w:pPr>
      <w:r>
        <w:rPr>
          <w:rFonts w:ascii="Arial" w:hAnsi="Arial"/>
          <w:b w:val="false"/>
          <w:bCs w:val="false"/>
          <w:color w:val="000000"/>
          <w:sz w:val="16"/>
          <w:u w:val="none"/>
        </w:rPr>
        <w:t>Komornik Sądowy przy Sądzie Rejonowym w Stalowej Woli Norbert Węgrzyn, podaje do publicznej wiadomości, że w dniu 17-06-2026 o godzinie 10:00 rozpocznie się pierwsza licytacja elektroniczna nieruchomości  zabudowanej   położonej  pod adresem: 37-415 Zaleszany, Skowierzycn 176 dla której Sąd Rejonowy w Stalowej Woli V Wydział Ksiąg Wieczystych prowadzi księgę wieczystą o numerze TB1S/00032244/5 jest to</w:t>
      </w:r>
      <w:r>
        <w:rPr>
          <w:rFonts w:ascii="Arial" w:hAnsi="Arial"/>
          <w:b w:val="false"/>
          <w:bCs w:val="false"/>
          <w:sz w:val="16"/>
          <w:u w:val="none"/>
        </w:rPr>
        <w:t xml:space="preserve"> nieruchomość gruntowa niezabudowana rolna i zabudowana wolnostojącym parterowym budynkiem mieszkalnym, budynkiem gospodarczym stodoły oraz budynkiem drewnianej szopy. Nieruchomość składa się z dwóch działek ewidencyjnych o nr 224 pow. użyt. 0,5600 ha stanowiąca grunty orne i łąki trwałe i nr 374 pow. 0,5987 ha stanowiąca grunty rolne zabudowane, grunty orne. Razem powierzchnia działek wynosi: 1,1587 ha. Działka gruntowa niezabudowana o charakterze rolnym nr ewidencyjny 224 o pow. 0,5600 ha stanowiąca według wypisu z rejestru gruntów: grunty orne R IIIa pow. użytku 0,0200 ha,  łąki trwałe Ł IV pow. użytku 0,1800 ha,   łąki trwałe Ł III pow. użytku 0,3600 ha działka ma kształt czworoboczny zbliżony do prostokąta o wymiarach około: 70mb na 80mb.  </w:t>
      </w:r>
      <w:r>
        <w:rPr>
          <w:rFonts w:ascii="Arial" w:hAnsi="Arial"/>
          <w:b w:val="false"/>
          <w:bCs w:val="false"/>
          <w:color w:val="000000"/>
          <w:sz w:val="16"/>
          <w:u w:val="none"/>
        </w:rPr>
        <w:t>Nieruchomość stanowi własność dłużnika: ZBIGNIEW KRASOŃ.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bidi w:val="0"/>
        <w:spacing w:lineRule="auto" w:line="276"/>
        <w:jc w:val="left"/>
        <w:rPr/>
      </w:pPr>
      <w:r>
        <w:rPr>
          <w:rFonts w:ascii="Arial" w:hAnsi="Arial"/>
          <w:b w:val="false"/>
          <w:bCs w:val="false"/>
          <w:color w:val="000000"/>
          <w:sz w:val="16"/>
          <w:u w:val="none"/>
        </w:rPr>
        <w:t>Dla nieruchomości obowiązują ustalenia Studium Uwarunkowań i Kierunków Zagospodarowania Przestrzennego Gminy Zaleszany. Zgodnie ze Studium Uwarunkowań i Kierunków Zagospodarowania Przestrzennego gminy Zaleszany (Uchwała Rady Gminy Zaleszany nr VI/106/2019 z dnia 29 kwietnia 2019 r.) nieruchomość stanowiąca działkę ewidencyjną nr 224 położona jest na terenach łąk i pastwisk oznaczona w Studium symbolem Ł. Natomiast działka ewidencyjna nr 374 położona jest na obszarze, zabudowy zagrodowej oznaczonej symbolem RM oraz na obszarach rolnych oznaczonych symbolem R.</w:t>
      </w:r>
      <w:r>
        <w:rPr>
          <w:rFonts w:ascii="Arial" w:hAnsi="Arial"/>
          <w:b w:val="false"/>
          <w:bCs w:val="false"/>
          <w:sz w:val="16"/>
          <w:u w:val="none"/>
        </w:rPr>
        <w:t>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bidi w:val="0"/>
        <w:spacing w:lineRule="auto" w:line="276"/>
        <w:jc w:val="left"/>
        <w:rPr/>
      </w:pPr>
      <w:r>
        <w:rPr>
          <w:rFonts w:ascii="Arial" w:hAnsi="Arial"/>
          <w:b w:val="false"/>
          <w:bCs w:val="false"/>
          <w:color w:val="000000"/>
          <w:sz w:val="16"/>
          <w:u w:val="none"/>
        </w:rPr>
        <w:t>Licytacja zakończy się w dniu 17-06-2026 o godzinie 10:00. Nieruchomość oszacowana jest na kwotę 289 540,00 zł. Cena wywołania wynosi trzy czwarte wartości szacunkowej tj. kwotę 217 155,00 zł.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/>
      </w:pPr>
      <w:r>
        <w:rPr>
          <w:rFonts w:eastAsia="Calibri"/>
          <w:b w:val="false"/>
          <w:bCs w:val="false"/>
          <w:sz w:val="16"/>
          <w:u w:val="none"/>
        </w:rPr>
        <w:t>Licytant przystępujący do przetargu powinien złożyć rękojmię w wysokości 1/10 sumy oszacowania to jest 28 954,00 zł.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/>
      </w:pPr>
      <w:r>
        <w:rPr>
          <w:rFonts w:eastAsia="Calibri"/>
          <w:b w:val="false"/>
          <w:bCs w:val="false"/>
          <w:sz w:val="16"/>
          <w:u w:val="none"/>
        </w:rPr>
        <w:t>Nieruchomość można oglądać w ciągu dwóch tygodni przed licytacją w godzinach od 10.00 do 16.00.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/>
      </w:pPr>
      <w:r>
        <w:rPr>
          <w:rFonts w:eastAsia="Calibri"/>
          <w:b w:val="false"/>
          <w:bCs w:val="false"/>
          <w:sz w:val="16"/>
          <w:u w:val="none"/>
        </w:rPr>
        <w:t xml:space="preserve">Sprzedaż w drodze licytacji elektronicznej jest dokonywana za pośrednictwem systemu teleinformatycznego dostępnego pod adresem: https://licytacje.komornik.pl/. 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/>
      </w:pPr>
      <w:r>
        <w:rPr>
          <w:rFonts w:eastAsia="Calibri"/>
          <w:b w:val="false"/>
          <w:bCs w:val="false"/>
          <w:sz w:val="16"/>
          <w:u w:val="none"/>
        </w:rPr>
        <w:t>Przystąpienie do przetargu wymaga zgłoszenia przystąpienia w systemie teleinformatycznym obsługującym licytacje elektroniczne dostępnym pod adresem: https://licytacje.komornik.pl na 2 dni robocze przed rozpoczęciem przetargu. Warunkiem udziału w przetargu jest utworzenie indywidualnego konta w systemie teleinformatycznym.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/>
      </w:pPr>
      <w:r>
        <w:rPr>
          <w:rFonts w:eastAsia="Calibri"/>
          <w:b w:val="false"/>
          <w:bCs w:val="false"/>
          <w:sz w:val="16"/>
          <w:u w:val="none"/>
        </w:rPr>
        <w:t>Rękojmię należy złożyć na rachunek bankowy komornika numer: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/>
      </w:pPr>
      <w:r>
        <w:rPr>
          <w:rFonts w:eastAsia="Calibri"/>
          <w:b w:val="false"/>
          <w:bCs w:val="false"/>
          <w:sz w:val="16"/>
          <w:u w:val="none"/>
        </w:rPr>
        <w:t>BNP Paribas Bank Polska Spółka Akcyjna 29 1600 1462 1885 8354 9000 0004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/>
      </w:pPr>
      <w:r>
        <w:rPr>
          <w:rFonts w:eastAsia="Calibri"/>
          <w:b w:val="false"/>
          <w:bCs w:val="false"/>
          <w:sz w:val="16"/>
          <w:u w:val="none"/>
        </w:rPr>
        <w:t>najpóźniej na 2 dni robocze przed rozpoczęciem przetargu. Za datę złożenia rękojmi przyjmuje się dzień uznania rachunku bankowego komornika. Przepisu art. 964 kpc nie stosuje się. Wraz z rękojmią licytant zobowiązany jest do podania w systemie teleinformatycznym danych niezbędnych do wydania postanowienia o przybiciu: numeru pesel, numeru dokumentu stwierdzającego tożsamość i oświadczenia, czy pozostaje w związku małżeńskim, a jeżeli tak, czy nieruchomość zamierza nabyć do majątku wspólnego czy osobistego, oraz do wskazania, czy licytuje we własnym imieniu czy jako pełnomocnik innej osoby, a także innych danych, jeżeli potrzeba ich podania wynika z przepisów odrębnych ustaw.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/>
      </w:pPr>
      <w:r>
        <w:rPr>
          <w:rFonts w:eastAsia="Calibri"/>
          <w:b w:val="false"/>
          <w:bCs w:val="false"/>
          <w:sz w:val="16"/>
          <w:u w:val="none"/>
        </w:rPr>
        <w:t>W razie potrzeby komornik niezwłocznie wzywa licytanta, pod rygorem niedopuszczenia do udziału w przetargu, za pośrednictwem systemu teleinformatycznego do uzupełnienia danych, a jeżeli udział w przetargu wymaga zezwolenia organu władzy publicznej lub wykazania umocowania do występowania w imieniu innej osoby - do przedłożenia utrwalonych w postaci elektronicznej kopii wymaganych dokumentów w terminie 3 dni, nie później niż dzień przed terminem licytacji.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/>
      </w:pPr>
      <w:r>
        <w:rPr>
          <w:rFonts w:eastAsia="Calibri"/>
          <w:b w:val="false"/>
          <w:bCs w:val="false"/>
          <w:sz w:val="16"/>
          <w:u w:val="none"/>
        </w:rPr>
        <w:t>Komornik potwierdza fakt złożenia rękojmi i podania danych niezwłocznie po ich otrzymaniu, poprzez dopuszczenie licytanta do udziału w przetargu. O odmowie dopuszczenia do przetargu zawiadamia się zainteresowanego za pośrednictwem systemu teleinformatycznego.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/>
      </w:pPr>
      <w:r>
        <w:rPr>
          <w:rFonts w:eastAsia="Calibri"/>
          <w:b w:val="false"/>
          <w:bCs w:val="false"/>
          <w:sz w:val="16"/>
          <w:u w:val="none"/>
        </w:rPr>
        <w:t>W przetargu nie mogą uczestniczyć: dłużnik, komornik, ich małżonkowie, dzieci, rodzice i rodzeństwo oraz osoby obecne na licytacji w charakterze urzędowym, licytant, który nie wykonał warunków poprzedniej licytacji, osoby, które mogą nabyć nieruchomość tylko za zezwoleniem organu państwowego, a zezwolenia tego nie przedstawiły.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/>
      </w:pPr>
      <w:r>
        <w:rPr>
          <w:rFonts w:eastAsia="Calibri"/>
          <w:b w:val="false"/>
          <w:bCs w:val="false"/>
          <w:sz w:val="16"/>
          <w:u w:val="none"/>
        </w:rPr>
        <w:t>Przetarg rozpoczyna się i kończy z chwilą wskazaną w obwieszczeniu o licytacji nieruchomości.  Jeżeli w ciągu 5 minut przed planowanym terminem zakończenia przetargu zgłoszono postąpienie, termin ten ulega odroczeniu o 5 minut. Jeżeli w dodatkowym czasie zgłoszono dalsze postąpienie, termin zakończenia przetargu podlega każdorazowo odroczeniu o kolejne 5 minut, aż do momentu gdy ustaną postąpienia.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/>
      </w:pPr>
      <w:r>
        <w:rPr>
          <w:rFonts w:eastAsia="Calibri"/>
          <w:b w:val="false"/>
          <w:bCs w:val="false"/>
          <w:sz w:val="16"/>
          <w:u w:val="none"/>
        </w:rPr>
        <w:t>W toku przetargu licytanci ofiarują cenę nabycia za pośrednictwem systemu teleinformatycznego. Przetarg wygrywa licytant, którego oferta była w chwili zakończenia przetargu najwyższa.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/>
      </w:pPr>
      <w:r>
        <w:rPr>
          <w:rFonts w:eastAsia="Calibri"/>
          <w:b w:val="false"/>
          <w:bCs w:val="false"/>
          <w:sz w:val="16"/>
          <w:u w:val="none"/>
        </w:rPr>
        <w:t>Po zakończeniu przetargu komornik za pośrednictwem systemu teleinformatycznego informuje licytantów o wyłonieniu licytanta ofiarującego najwyższą cenę w chwili zakończenia przetargu. Skargę na odmowę dopuszczenia do przetargu można złożyć w terminie 3 dni od dnia odmowy dopuszczenia do przetargu, a na przebieg przetargu - w terminie 3 dni od dnia jego zakończenia.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/>
      </w:pPr>
      <w:r>
        <w:rPr>
          <w:rFonts w:eastAsia="Calibri"/>
          <w:b w:val="false"/>
          <w:bCs w:val="false"/>
          <w:sz w:val="16"/>
          <w:u w:val="none"/>
        </w:rPr>
        <w:t>Licytanci i osoby, których nie dopuszczono do przetargu, mogą złożyć skargę wyłącznie za pośrednictwem systemu teleinformatycznego. Skargę za pośrednictwem systemu teleinformatycznego mogą złożyć także inne osoby, o ile posiadają w tym systemie konto.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/>
      </w:pPr>
      <w:r>
        <w:rPr>
          <w:rFonts w:eastAsia="Calibri"/>
          <w:b w:val="false"/>
          <w:bCs w:val="false"/>
          <w:color w:val="000000"/>
          <w:sz w:val="16"/>
          <w:u w:val="none"/>
        </w:rPr>
        <w:t>Prawa osób trzecich nie będą przeszkodą do licytacji i przysądzenia własności na rzecz nabywcy bez zastrzeżeń, jeżeli osoby te przed rozpoczęciem przetargu nie złożą dowodu, iż wniosły powództwo o zwolnienie</w:t>
      </w:r>
      <w:r>
        <w:rPr>
          <w:rFonts w:eastAsia="Calibri"/>
          <w:b w:val="false"/>
          <w:bCs w:val="false"/>
          <w:sz w:val="16"/>
          <w:u w:val="none"/>
        </w:rPr>
        <w:t xml:space="preserve"> nieruchomości lub przedmiotów razem z nią zajętych od egzekucji i uzyskały w  tym zakresie orzeczenie wstrzymujące egzekucję.</w:t>
      </w:r>
      <w:r>
        <w:rPr>
          <w:rFonts w:eastAsia="Calibri"/>
          <w:b w:val="false"/>
          <w:bCs w:val="false"/>
          <w:color w:val="000000"/>
          <w:sz w:val="16"/>
          <w:u w:val="none"/>
        </w:rPr>
        <w:t xml:space="preserve"> Użytkowanie, służebności i prawa dożywotnika, jeżeli nie są ujawnione w księdze wieczystej lub przez złożenie dokumentu do zbioru dokumentów i nie zostaną zgłoszone najpóźniej na trzy dni przed rozpoczęciem licytacji, nie będą uwzględnione w dalszym toku egzekucji i wygasną z chwilą uprawomocnienia się postanowienia o przysądzeniu własności.</w:t>
      </w:r>
    </w:p>
    <w:p>
      <w:pPr>
        <w:pStyle w:val="Normal1"/>
        <w:bidi w:val="0"/>
        <w:spacing w:lineRule="auto" w:line="276"/>
        <w:jc w:val="left"/>
        <w:rPr>
          <w:rFonts w:ascii="Arial" w:hAnsi="Arial" w:eastAsia="Calibri"/>
          <w:b w:val="false"/>
          <w:bCs w:val="false"/>
          <w:sz w:val="20"/>
          <w:u w:val="none"/>
        </w:rPr>
      </w:pPr>
      <w:r>
        <w:rPr>
          <w:rFonts w:eastAsia="Calibri"/>
          <w:b w:val="false"/>
          <w:bCs w:val="false"/>
          <w:sz w:val="20"/>
          <w:u w:val="none"/>
        </w:rPr>
      </w:r>
    </w:p>
    <w:p>
      <w:pPr>
        <w:pStyle w:val="Normal"/>
        <w:widowControl w:val="false"/>
        <w:tabs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 w:before="0" w:after="0"/>
        <w:jc w:val="left"/>
        <w:rPr>
          <w:rFonts w:ascii="Arial" w:hAnsi="Arial"/>
          <w:b w:val="false"/>
          <w:bCs w:val="false"/>
          <w:color w:val="000000"/>
          <w:sz w:val="20"/>
          <w:u w:val="none"/>
        </w:rPr>
      </w:pPr>
      <w:r>
        <w:rPr>
          <w:rFonts w:ascii="Arial" w:hAnsi="Arial"/>
          <w:b w:val="false"/>
          <w:bCs w:val="false"/>
          <w:color w:val="000000"/>
          <w:sz w:val="20"/>
          <w:u w:val="none"/>
        </w:rPr>
      </w:r>
    </w:p>
    <w:tbl>
      <w:tblPr>
        <w:tblW w:w="5400" w:type="dxa"/>
        <w:jc w:val="left"/>
        <w:tblInd w:w="4011" w:type="dxa"/>
        <w:tblLayout w:type="fixed"/>
        <w:tblCellMar>
          <w:top w:w="0" w:type="dxa"/>
          <w:left w:w="51" w:type="dxa"/>
          <w:bottom w:w="0" w:type="dxa"/>
          <w:right w:w="43" w:type="dxa"/>
        </w:tblCellMar>
      </w:tblPr>
      <w:tblGrid>
        <w:gridCol w:w="5400"/>
      </w:tblGrid>
      <w:tr>
        <w:trPr/>
        <w:tc>
          <w:tcPr>
            <w:tcW w:w="540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76" w:before="0" w:after="0"/>
              <w:jc w:val="left"/>
              <w:rPr/>
            </w:pPr>
            <w:r>
              <w:rPr>
                <w:rFonts w:ascii="Arial" w:hAnsi="Arial"/>
                <w:b w:val="false"/>
                <w:bCs w:val="false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color w:val="000000"/>
                <w:sz w:val="20"/>
                <w:u w:val="none"/>
              </w:rPr>
              <w:t>Komornik Sądowy</w:t>
            </w:r>
          </w:p>
        </w:tc>
      </w:tr>
      <w:tr>
        <w:trPr/>
        <w:tc>
          <w:tcPr>
            <w:tcW w:w="540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76" w:before="0" w:after="0"/>
              <w:jc w:val="left"/>
              <w:rPr/>
            </w:pPr>
            <w:r>
              <w:rPr>
                <w:rFonts w:ascii="Arial" w:hAnsi="Arial"/>
                <w:b w:val="false"/>
                <w:bCs w:val="false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color w:val="000000"/>
                <w:sz w:val="20"/>
                <w:u w:val="none"/>
              </w:rPr>
              <w:t>Norbert Węgrzyn</w:t>
            </w:r>
          </w:p>
        </w:tc>
      </w:tr>
    </w:tbl>
    <w:p>
      <w:pPr>
        <w:pStyle w:val="Normal1"/>
        <w:bidi w:val="0"/>
        <w:spacing w:lineRule="auto" w:line="276"/>
        <w:jc w:val="left"/>
        <w:rPr>
          <w:rFonts w:ascii="Arial" w:hAnsi="Arial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1"/>
        <w:bidi w:val="0"/>
        <w:spacing w:lineRule="auto" w:line="276"/>
        <w:jc w:val="left"/>
        <w:rPr>
          <w:rFonts w:ascii="Arial" w:hAnsi="Arial" w:eastAsia="Calibri"/>
          <w:b w:val="false"/>
          <w:bCs w:val="false"/>
          <w:sz w:val="20"/>
          <w:u w:val="none"/>
        </w:rPr>
      </w:pPr>
      <w:r>
        <w:rPr>
          <w:rFonts w:eastAsia="Calibri"/>
          <w:b w:val="false"/>
          <w:bCs w:val="false"/>
          <w:sz w:val="20"/>
          <w:u w:val="no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850" w:gutter="0" w:header="567" w:top="850" w:footer="567" w:bottom="79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spacing w:lineRule="auto" w:line="240" w:before="0" w:after="0"/>
      <w:ind w:hanging="0" w:left="0" w:right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spacing w:lineRule="auto" w:line="240" w:before="0" w:after="0"/>
      <w:ind w:hanging="0" w:left="0" w:right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sz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Normal1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uppressAutoHyphens w:val="false"/>
      <w:spacing w:lineRule="auto" w:line="259" w:before="0" w:after="160"/>
    </w:pPr>
    <w:rPr>
      <w:rFonts w:ascii="Calibri" w:hAnsi="Calibri" w:eastAsia="Calibri"/>
      <w:sz w:val="2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1" w:default="1">
    <w:name w:val="[Normal]"/>
    <w:qFormat/>
    <w:pPr>
      <w:widowControl w:val="false"/>
      <w:tabs>
        <w:tab w:val="clear" w:pos="709"/>
        <w:tab w:val="left" w:pos="1134" w:leader="none"/>
        <w:tab w:val="left" w:pos="2268" w:leader="none"/>
        <w:tab w:val="left" w:pos="3402" w:leader="none"/>
        <w:tab w:val="left" w:pos="4536" w:leader="none"/>
        <w:tab w:val="left" w:pos="5670" w:leader="none"/>
        <w:tab w:val="left" w:pos="6804" w:leader="none"/>
        <w:tab w:val="left" w:pos="7938" w:leader="none"/>
        <w:tab w:val="left" w:pos="9072" w:leader="none"/>
        <w:tab w:val="left" w:pos="10206" w:leader="none"/>
        <w:tab w:val="left" w:pos="11340" w:leader="none"/>
        <w:tab w:val="left" w:pos="12474" w:leader="none"/>
        <w:tab w:val="left" w:pos="13608" w:leader="none"/>
        <w:tab w:val="left" w:pos="14742" w:leader="none"/>
        <w:tab w:val="left" w:pos="15876" w:leader="none"/>
      </w:tabs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Arial" w:cs="Arial"/>
      <w:b w:val="false"/>
      <w:i w:val="false"/>
      <w:strike w:val="false"/>
      <w:dstrike w:val="false"/>
      <w:color w:val="auto"/>
      <w:kern w:val="0"/>
      <w:sz w:val="24"/>
      <w:szCs w:val="20"/>
      <w:shd w:fill="auto" w:val="clear"/>
      <w:lang w:val="pl-PL" w:eastAsia="zh-CN" w:bidi="hi-IN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user"/>
    <w:pPr/>
    <w:rPr/>
  </w:style>
  <w:style w:type="paragraph" w:styleId="Footer">
    <w:name w:val="footer"/>
    <w:basedOn w:val="Gwkaistopkaus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901</Words>
  <Characters>5799</Characters>
  <CharactersWithSpaces>6685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2026-05-11T09:49:40Z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