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Stalowej Woli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2020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1.364</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3.779</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3.722</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1.421</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 xml:space="preserve">(suma wierszy: 02, 103, 110, </w:t>
            </w:r>
            <w:r w:rsidR="006275FB">
              <w:rPr>
                <w:rFonts w:ascii="Arial" w:hAnsi="Arial" w:cs="Arial"/>
                <w:b w:val="0"/>
                <w:color w:val="000000"/>
                <w:sz w:val="14"/>
              </w:rPr>
              <w:t>161,165,206, 236 do 238</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1.364</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3.744</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3.692</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2.224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672</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509</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1.416</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639</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b)h)883</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b)h)830</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)h)240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h)91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b)h)692</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0C32D0"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w:pict>
                <v:shapetype id="_x0000_t202" coordsize="21600,21600" o:spt="202" path="m,l,21600r21600,l21600,xe">
                  <v:stroke joinstyle="miter"/>
                  <v:path gradientshapeok="t" o:connecttype="rect"/>
                </v:shapetype>
                <v:shape id="_x0000_s1116" type="#_x0000_t202" style="position:absolute;left:0;text-align:left;margin-left:792.8pt;margin-top:51.9pt;width:36pt;height:9pt;flip:x;z-index:4;mso-position-horizontal-relative:text;mso-position-vertical-relative:text" o:allowincell="f" stroked="f">
                  <v:textbox style="mso-next-textbox:#_x0000_s1116" inset="0,0,0,0">
                    <w:txbxContent>
                      <w:p w:rsidR="009711E5" w:rsidRDefault="009711E5" w:rsidP="00BE7DF5"/>
                    </w:txbxContent>
                  </v:textbox>
                </v:shape>
              </w:pict>
            </w:r>
            <w:r>
              <w:rPr>
                <w:rFonts w:ascii="Arial" w:hAnsi="Arial" w:cs="Arial"/>
                <w:noProof/>
                <w:color w:val="000000"/>
                <w:sz w:val="14"/>
                <w:szCs w:val="14"/>
              </w:rPr>
              <w:pict>
                <v:shape id="_x0000_s1117" type="#_x0000_t202" style="position:absolute;left:0;text-align:left;margin-left:792.8pt;margin-top:53.4pt;width:18pt;height:9pt;z-index:5;mso-position-horizontal-relative:text;mso-position-vertical-relative:text" o:allowincell="f" stroked="f">
                  <v:textbox style="mso-next-textbox:#_x0000_s1117" inset="0,0,0,0">
                    <w:txbxContent>
                      <w:p w:rsidR="009711E5" w:rsidRDefault="009711E5" w:rsidP="00BE7DF5"/>
                    </w:txbxContent>
                  </v:textbox>
                </v:shape>
              </w:pic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196</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324</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320</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175</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200</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111 do</w:t>
            </w:r>
            <w:r w:rsidR="008D530A">
              <w:rPr>
                <w:rFonts w:ascii="Arial" w:hAnsi="Arial" w:cs="Arial"/>
                <w:color w:val="000000"/>
                <w:sz w:val="14"/>
                <w:szCs w:val="14"/>
              </w:rPr>
              <w:t xml:space="preserve"> 151 +</w:t>
            </w:r>
            <w:r w:rsidRPr="00520B26">
              <w:rPr>
                <w:rFonts w:ascii="Arial" w:hAnsi="Arial" w:cs="Arial"/>
                <w:color w:val="000000"/>
                <w:sz w:val="14"/>
                <w:szCs w:val="14"/>
              </w:rPr>
              <w:t xml:space="preserve"> 156</w:t>
            </w:r>
            <w:r w:rsidR="008D530A">
              <w:rPr>
                <w:rFonts w:ascii="Arial" w:hAnsi="Arial" w:cs="Arial"/>
                <w:color w:val="000000"/>
                <w:sz w:val="14"/>
                <w:szCs w:val="14"/>
              </w:rPr>
              <w:t xml:space="preserve"> do 160</w:t>
            </w:r>
            <w:r w:rsidRPr="00520B26">
              <w:rPr>
                <w:rFonts w:ascii="Arial" w:hAnsi="Arial" w:cs="Arial"/>
                <w:color w:val="000000"/>
                <w:sz w:val="14"/>
                <w:szCs w:val="14"/>
              </w:rPr>
              <w:t xml:space="preserve">)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369</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562</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471</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363</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235</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460</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157</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1</w:t>
            </w: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567"/>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51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141F45" w:rsidRPr="00520B26" w:rsidTr="00141F45">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41F45" w:rsidRPr="00141F45" w:rsidRDefault="00141F45" w:rsidP="00141F45">
            <w:pPr>
              <w:ind w:left="56"/>
              <w:rPr>
                <w:rFonts w:ascii="Arial" w:hAnsi="Arial" w:cs="Arial"/>
                <w:sz w:val="12"/>
                <w:szCs w:val="12"/>
              </w:rPr>
            </w:pPr>
            <w:r w:rsidRPr="00141F45">
              <w:rPr>
                <w:rFonts w:ascii="Arial" w:hAnsi="Arial" w:cs="Arial"/>
                <w:sz w:val="14"/>
                <w:szCs w:val="14"/>
              </w:rPr>
              <w:t>Suma wierszy 152+154</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41F45" w:rsidRPr="00141F45" w:rsidRDefault="00141F45" w:rsidP="00141F45">
            <w:pPr>
              <w:jc w:val="center"/>
              <w:rPr>
                <w:rFonts w:ascii="Arial" w:hAnsi="Arial" w:cs="Arial"/>
                <w:sz w:val="12"/>
                <w:szCs w:val="12"/>
              </w:rPr>
            </w:pPr>
            <w:r w:rsidRPr="00141F45">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41F45" w:rsidRPr="00141F45" w:rsidRDefault="00141F45" w:rsidP="00141F45">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42629A" w:rsidP="00141F45">
            <w:pPr>
              <w:jc w:val="right"/>
              <w:rPr>
                <w:rFonts w:ascii="Arial" w:hAnsi="Arial" w:cs="Arial"/>
                <w:color w:val="000000"/>
                <w:sz w:val="14"/>
                <w:szCs w:val="14"/>
              </w:rPr>
            </w:pPr>
            <w:r>
              <w:rPr>
                <w:rFonts w:ascii="Arial" w:hAnsi="Arial" w:cs="Arial"/>
                <w:color w:val="000000"/>
                <w:sz w:val="14"/>
                <w:szCs w:val="14"/>
              </w:rPr>
              <w:t xml:space="preserve">k) </w:t>
            </w:r>
            <w:r w:rsidR="00141F45"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4</w:t>
            </w:r>
          </w:p>
        </w:tc>
      </w:tr>
      <w:tr w:rsidR="0042629A" w:rsidRPr="00520B26" w:rsidTr="00B83A45">
        <w:trPr>
          <w:cantSplit/>
          <w:trHeight w:hRule="exact" w:val="567"/>
        </w:trPr>
        <w:tc>
          <w:tcPr>
            <w:tcW w:w="1334" w:type="dxa"/>
            <w:vMerge w:val="restart"/>
            <w:tcBorders>
              <w:top w:val="single" w:sz="2" w:space="0" w:color="auto"/>
              <w:left w:val="single" w:sz="2" w:space="0" w:color="auto"/>
              <w:right w:val="single" w:sz="4" w:space="0" w:color="auto"/>
            </w:tcBorders>
            <w:shd w:val="clear" w:color="auto" w:fill="auto"/>
            <w:textDirection w:val="btLr"/>
            <w:vAlign w:val="center"/>
          </w:tcPr>
          <w:p w:rsidR="0042629A" w:rsidRPr="0042629A" w:rsidRDefault="0042629A" w:rsidP="0042629A">
            <w:pPr>
              <w:ind w:left="113" w:right="113"/>
              <w:rPr>
                <w:rFonts w:ascii="Arial" w:hAnsi="Arial" w:cs="Arial"/>
                <w:sz w:val="12"/>
                <w:szCs w:val="12"/>
              </w:rPr>
            </w:pPr>
            <w:r w:rsidRPr="0042629A">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2"/>
                <w:szCs w:val="12"/>
              </w:rPr>
            </w:pPr>
            <w:r w:rsidRPr="0042629A">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282</w:t>
            </w:r>
          </w:p>
          <w:p w:rsidR="0042629A" w:rsidRPr="0042629A" w:rsidRDefault="0042629A" w:rsidP="0042629A">
            <w:pPr>
              <w:jc w:val="center"/>
              <w:rPr>
                <w:rFonts w:ascii="Arial" w:hAnsi="Arial" w:cs="Arial"/>
                <w:sz w:val="12"/>
                <w:szCs w:val="12"/>
              </w:rPr>
            </w:pPr>
            <w:r w:rsidRPr="0042629A">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right w:val="single" w:sz="2" w:space="0" w:color="auto"/>
            </w:tcBorders>
            <w:vAlign w:val="center"/>
          </w:tcPr>
          <w:p w:rsidR="0042629A" w:rsidRPr="00520B26" w:rsidRDefault="0042629A" w:rsidP="0042629A">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ind w:firstLine="243"/>
              <w:rPr>
                <w:rFonts w:ascii="Arial" w:hAnsi="Arial" w:cs="Arial"/>
                <w:sz w:val="14"/>
                <w:szCs w:val="14"/>
              </w:rPr>
            </w:pPr>
            <w:r w:rsidRPr="0042629A">
              <w:rPr>
                <w:rFonts w:ascii="Arial" w:hAnsi="Arial" w:cs="Arial"/>
                <w:sz w:val="12"/>
                <w:szCs w:val="12"/>
              </w:rPr>
              <w:t xml:space="preserve">w tym wnioski o zabezpieczenie polegające na przedłużeniu wydanego przez Policję lub Żandarmerię nakazu (art. 755 </w:t>
            </w:r>
            <w:r w:rsidRPr="0042629A">
              <w:rPr>
                <w:rFonts w:ascii="Arial" w:hAnsi="Arial" w:cs="Arial"/>
                <w:sz w:val="12"/>
                <w:szCs w:val="12"/>
                <w:vertAlign w:val="superscript"/>
              </w:rPr>
              <w:t>2</w:t>
            </w:r>
            <w:r w:rsidRPr="0042629A">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right w:val="single" w:sz="2" w:space="0" w:color="auto"/>
            </w:tcBorders>
            <w:vAlign w:val="center"/>
          </w:tcPr>
          <w:p w:rsidR="0042629A" w:rsidRPr="00520B26" w:rsidRDefault="0042629A" w:rsidP="0042629A">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4"/>
                <w:szCs w:val="14"/>
              </w:rPr>
            </w:pPr>
            <w:r w:rsidRPr="0042629A">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4</w:t>
            </w:r>
          </w:p>
        </w:tc>
      </w:tr>
      <w:tr w:rsidR="0042629A" w:rsidRPr="00520B26" w:rsidTr="00B83A45">
        <w:trPr>
          <w:cantSplit/>
          <w:trHeight w:hRule="exact" w:val="567"/>
        </w:trPr>
        <w:tc>
          <w:tcPr>
            <w:tcW w:w="1334" w:type="dxa"/>
            <w:vMerge/>
            <w:tcBorders>
              <w:left w:val="single" w:sz="2" w:space="0" w:color="auto"/>
              <w:bottom w:val="single" w:sz="8" w:space="0" w:color="auto"/>
              <w:right w:val="single" w:sz="2" w:space="0" w:color="auto"/>
            </w:tcBorders>
            <w:vAlign w:val="center"/>
          </w:tcPr>
          <w:p w:rsidR="0042629A" w:rsidRPr="00520B26" w:rsidRDefault="0042629A" w:rsidP="0042629A">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4"/>
                <w:szCs w:val="14"/>
              </w:rPr>
            </w:pPr>
            <w:r w:rsidRPr="0042629A">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312"/>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290</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2629A" w:rsidRPr="00017EC8" w:rsidRDefault="0042629A" w:rsidP="0042629A">
            <w:pPr>
              <w:ind w:left="56"/>
              <w:rPr>
                <w:rFonts w:ascii="Arial" w:hAnsi="Arial" w:cs="Arial"/>
                <w:sz w:val="11"/>
                <w:szCs w:val="11"/>
              </w:rPr>
            </w:pPr>
            <w:r w:rsidRPr="0042629A">
              <w:rPr>
                <w:rFonts w:ascii="Arial" w:hAnsi="Arial" w:cs="Arial"/>
                <w:sz w:val="13"/>
                <w:szCs w:val="13"/>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2629A" w:rsidRPr="00017EC8" w:rsidRDefault="0042629A" w:rsidP="0042629A">
            <w:pPr>
              <w:spacing w:line="120" w:lineRule="exact"/>
              <w:jc w:val="center"/>
              <w:rPr>
                <w:rFonts w:ascii="Arial" w:hAnsi="Arial" w:cs="Arial"/>
                <w:sz w:val="11"/>
                <w:szCs w:val="11"/>
              </w:rPr>
            </w:pPr>
            <w:r w:rsidRPr="00017EC8">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2629A" w:rsidRPr="00017EC8" w:rsidRDefault="0042629A" w:rsidP="0042629A">
            <w:pPr>
              <w:jc w:val="center"/>
              <w:rPr>
                <w:rFonts w:ascii="Arial" w:hAnsi="Arial" w:cs="Arial"/>
                <w:sz w:val="14"/>
              </w:rPr>
            </w:pPr>
            <w:r w:rsidRPr="00017EC8">
              <w:rPr>
                <w:rFonts w:ascii="Arial" w:hAnsi="Arial" w:cs="Arial"/>
                <w:sz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B65F6A" w:rsidRDefault="0042629A" w:rsidP="0042629A">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B65F6A" w:rsidRDefault="0042629A" w:rsidP="0042629A">
            <w:pPr>
              <w:jc w:val="right"/>
              <w:rPr>
                <w:rFonts w:ascii="Arial" w:hAnsi="Arial" w:cs="Arial"/>
                <w:color w:val="000000"/>
                <w:sz w:val="14"/>
                <w:szCs w:val="14"/>
              </w:rPr>
            </w:pPr>
            <w:r w:rsidRPr="00B65F6A">
              <w:rPr>
                <w:rFonts w:ascii="Arial" w:hAnsi="Arial" w:cs="Arial"/>
                <w:color w:val="000000"/>
                <w:sz w:val="14"/>
                <w:szCs w:val="14"/>
              </w:rPr>
              <w:t>10</w:t>
            </w: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37</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36</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33</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2</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11</w:t>
            </w: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84"/>
        <w:gridCol w:w="1868"/>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007AB4" w:rsidRPr="00520B26" w:rsidTr="00007AB4">
        <w:trPr>
          <w:gridAfter w:val="1"/>
          <w:wAfter w:w="8" w:type="dxa"/>
          <w:cantSplit/>
          <w:trHeight w:hRule="exact" w:val="170"/>
        </w:trPr>
        <w:tc>
          <w:tcPr>
            <w:tcW w:w="2929" w:type="dxa"/>
            <w:gridSpan w:val="3"/>
            <w:vAlign w:val="center"/>
          </w:tcPr>
          <w:p w:rsidR="00007AB4" w:rsidRPr="00007AB4" w:rsidRDefault="00007AB4" w:rsidP="00007AB4">
            <w:pPr>
              <w:ind w:left="56"/>
              <w:rPr>
                <w:rFonts w:ascii="Arial" w:hAnsi="Arial" w:cs="Arial"/>
                <w:sz w:val="14"/>
                <w:szCs w:val="14"/>
              </w:rPr>
            </w:pPr>
            <w:r w:rsidRPr="00007AB4">
              <w:rPr>
                <w:rFonts w:ascii="Arial" w:hAnsi="Arial" w:cs="Arial"/>
                <w:b/>
                <w:sz w:val="14"/>
                <w:szCs w:val="14"/>
              </w:rPr>
              <w:t>Wykaz N</w:t>
            </w:r>
            <w:r w:rsidRPr="00007AB4">
              <w:rPr>
                <w:rFonts w:ascii="Arial" w:hAnsi="Arial" w:cs="Arial"/>
                <w:sz w:val="14"/>
                <w:szCs w:val="14"/>
              </w:rPr>
              <w:t xml:space="preserve"> (suma wierszy od 162 do 164)</w:t>
            </w:r>
          </w:p>
        </w:tc>
        <w:tc>
          <w:tcPr>
            <w:tcW w:w="288" w:type="dxa"/>
            <w:tcBorders>
              <w:top w:val="single" w:sz="4" w:space="0" w:color="auto"/>
              <w:right w:val="single" w:sz="12" w:space="0" w:color="auto"/>
            </w:tcBorders>
            <w:vAlign w:val="center"/>
          </w:tcPr>
          <w:p w:rsidR="00007AB4" w:rsidRPr="00007AB4" w:rsidRDefault="00007AB4" w:rsidP="00007AB4">
            <w:pPr>
              <w:spacing w:after="40" w:line="140" w:lineRule="exact"/>
              <w:ind w:left="85" w:right="85"/>
              <w:jc w:val="center"/>
              <w:rPr>
                <w:rFonts w:ascii="Arial" w:hAnsi="Arial" w:cs="Arial"/>
                <w:sz w:val="11"/>
              </w:rPr>
            </w:pPr>
            <w:r w:rsidRPr="00007AB4">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007AB4" w:rsidRPr="00007AB4" w:rsidRDefault="00007AB4" w:rsidP="00007AB4">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400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400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400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31"/>
        </w:trPr>
        <w:tc>
          <w:tcPr>
            <w:tcW w:w="2929" w:type="dxa"/>
            <w:gridSpan w:val="3"/>
            <w:vAlign w:val="center"/>
          </w:tcPr>
          <w:p w:rsidR="00007AB4" w:rsidRPr="00007AB4" w:rsidRDefault="00007AB4" w:rsidP="00007AB4">
            <w:pPr>
              <w:spacing w:line="140" w:lineRule="exact"/>
              <w:ind w:left="23"/>
              <w:rPr>
                <w:rFonts w:ascii="Arial" w:hAnsi="Arial" w:cs="Arial"/>
                <w:b/>
                <w:bCs/>
                <w:sz w:val="12"/>
                <w:szCs w:val="12"/>
              </w:rPr>
            </w:pPr>
            <w:r w:rsidRPr="00007AB4">
              <w:rPr>
                <w:rFonts w:ascii="Arial" w:hAnsi="Arial" w:cs="Arial"/>
                <w:sz w:val="12"/>
                <w:szCs w:val="12"/>
              </w:rPr>
              <w:t>Protokoły oświadczeń o przyjęciu/odrzuceniu spadku przekazane przez inne sądy, notariuszy lub osoby zainteresowane</w:t>
            </w:r>
          </w:p>
        </w:tc>
        <w:tc>
          <w:tcPr>
            <w:tcW w:w="288" w:type="dxa"/>
            <w:tcBorders>
              <w:right w:val="single" w:sz="12" w:space="0" w:color="auto"/>
            </w:tcBorders>
            <w:vAlign w:val="center"/>
          </w:tcPr>
          <w:p w:rsidR="00007AB4" w:rsidRPr="00007AB4" w:rsidRDefault="00007AB4" w:rsidP="00007AB4">
            <w:pPr>
              <w:spacing w:line="120" w:lineRule="exact"/>
              <w:jc w:val="center"/>
              <w:rPr>
                <w:rFonts w:ascii="Arial" w:hAnsi="Arial" w:cs="Arial"/>
                <w:sz w:val="11"/>
                <w:szCs w:val="11"/>
              </w:rPr>
            </w:pPr>
            <w:r w:rsidRPr="00007AB4">
              <w:rPr>
                <w:rFonts w:ascii="Arial" w:hAnsi="Arial" w:cs="Arial"/>
                <w:sz w:val="11"/>
                <w:szCs w:val="11"/>
              </w:rPr>
              <w:t>267sn</w:t>
            </w:r>
          </w:p>
        </w:tc>
        <w:tc>
          <w:tcPr>
            <w:tcW w:w="451" w:type="dxa"/>
            <w:tcBorders>
              <w:top w:val="single" w:sz="4" w:space="0" w:color="auto"/>
              <w:left w:val="single" w:sz="12" w:space="0" w:color="auto"/>
              <w:bottom w:val="single" w:sz="4" w:space="0" w:color="auto"/>
            </w:tcBorders>
            <w:tcMar>
              <w:right w:w="57" w:type="dxa"/>
            </w:tcMar>
            <w:vAlign w:val="center"/>
          </w:tcPr>
          <w:p w:rsidR="00007AB4" w:rsidRPr="00007AB4" w:rsidRDefault="00007AB4" w:rsidP="00007AB4">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007AB4" w:rsidRPr="0042629A" w:rsidRDefault="00007AB4" w:rsidP="00007AB4">
            <w:pPr>
              <w:jc w:val="right"/>
              <w:rPr>
                <w:rFonts w:ascii="Arial" w:hAnsi="Arial" w:cs="Arial"/>
                <w:sz w:val="14"/>
                <w:szCs w:val="14"/>
              </w:rPr>
            </w:pPr>
            <w:r w:rsidRPr="0042629A">
              <w:rPr>
                <w:rFonts w:ascii="Arial" w:hAnsi="Arial" w:cs="Arial"/>
                <w:sz w:val="14"/>
                <w:szCs w:val="14"/>
              </w:rPr>
              <w:t>379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379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379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31"/>
        </w:trPr>
        <w:tc>
          <w:tcPr>
            <w:tcW w:w="2929" w:type="dxa"/>
            <w:gridSpan w:val="3"/>
            <w:vAlign w:val="center"/>
          </w:tcPr>
          <w:p w:rsidR="00007AB4" w:rsidRPr="00017EC8" w:rsidRDefault="00007AB4" w:rsidP="00007AB4">
            <w:pPr>
              <w:spacing w:line="140" w:lineRule="exact"/>
              <w:ind w:left="23"/>
              <w:rPr>
                <w:rFonts w:ascii="Arial" w:hAnsi="Arial" w:cs="Arial"/>
                <w:sz w:val="12"/>
                <w:szCs w:val="12"/>
              </w:rPr>
            </w:pPr>
            <w:r w:rsidRPr="00017EC8">
              <w:rPr>
                <w:rFonts w:ascii="Arial" w:hAnsi="Arial" w:cs="Arial"/>
                <w:sz w:val="12"/>
                <w:szCs w:val="12"/>
              </w:rPr>
              <w:t>Protokoły otwarcia i ogłoszenia testamentu przekazane przez notariusza</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szCs w:val="11"/>
              </w:rPr>
            </w:pPr>
            <w:r w:rsidRPr="00017EC8">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19"/>
        </w:trPr>
        <w:tc>
          <w:tcPr>
            <w:tcW w:w="2929" w:type="dxa"/>
            <w:gridSpan w:val="3"/>
            <w:vAlign w:val="center"/>
          </w:tcPr>
          <w:p w:rsidR="00007AB4" w:rsidRPr="00017EC8" w:rsidRDefault="00007AB4" w:rsidP="00007AB4">
            <w:pPr>
              <w:spacing w:line="140" w:lineRule="exact"/>
              <w:ind w:left="23"/>
              <w:rPr>
                <w:rFonts w:ascii="Arial" w:hAnsi="Arial" w:cs="Arial"/>
                <w:sz w:val="12"/>
                <w:szCs w:val="12"/>
              </w:rPr>
            </w:pPr>
            <w:r w:rsidRPr="00017EC8">
              <w:rPr>
                <w:rFonts w:ascii="Arial" w:hAnsi="Arial" w:cs="Arial"/>
                <w:sz w:val="12"/>
                <w:szCs w:val="12"/>
              </w:rPr>
              <w:t>Inne bez symbolu i o symbolu wyżej nie-wymienionym</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szCs w:val="11"/>
              </w:rPr>
            </w:pPr>
            <w:r w:rsidRPr="00017EC8">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007AB4">
        <w:trPr>
          <w:gridAfter w:val="1"/>
          <w:wAfter w:w="8" w:type="dxa"/>
          <w:cantSplit/>
          <w:trHeight w:hRule="exact" w:val="567"/>
        </w:trPr>
        <w:tc>
          <w:tcPr>
            <w:tcW w:w="2929" w:type="dxa"/>
            <w:gridSpan w:val="3"/>
            <w:vAlign w:val="center"/>
          </w:tcPr>
          <w:p w:rsidR="00007AB4" w:rsidRPr="00017EC8" w:rsidRDefault="00007AB4" w:rsidP="00007AB4">
            <w:pPr>
              <w:spacing w:line="140" w:lineRule="exact"/>
              <w:ind w:left="85" w:right="85"/>
              <w:rPr>
                <w:rFonts w:ascii="Arial" w:hAnsi="Arial" w:cs="Arial"/>
                <w:bCs/>
                <w:sz w:val="14"/>
                <w:szCs w:val="14"/>
              </w:rPr>
            </w:pPr>
            <w:r w:rsidRPr="00017EC8">
              <w:rPr>
                <w:rFonts w:ascii="Arial" w:hAnsi="Arial" w:cs="Arial"/>
                <w:b/>
                <w:bCs/>
                <w:sz w:val="18"/>
              </w:rPr>
              <w:t>Nc</w:t>
            </w:r>
            <w:r w:rsidRPr="00017EC8">
              <w:rPr>
                <w:rFonts w:ascii="Arial" w:hAnsi="Arial" w:cs="Arial"/>
                <w:b/>
                <w:bCs/>
                <w:sz w:val="16"/>
                <w:szCs w:val="16"/>
              </w:rPr>
              <w:t xml:space="preserve"> (</w:t>
            </w:r>
            <w:r w:rsidRPr="00017EC8">
              <w:rPr>
                <w:rFonts w:ascii="Arial" w:hAnsi="Arial" w:cs="Arial"/>
                <w:b/>
                <w:bCs/>
                <w:sz w:val="18"/>
                <w:szCs w:val="18"/>
              </w:rPr>
              <w:t>nakazowe, upominawcze i europejskie postępowanie nakazowe</w:t>
            </w:r>
            <w:r w:rsidRPr="00017EC8">
              <w:rPr>
                <w:rFonts w:ascii="Arial" w:hAnsi="Arial" w:cs="Arial"/>
                <w:b/>
                <w:bCs/>
                <w:sz w:val="16"/>
                <w:szCs w:val="16"/>
              </w:rPr>
              <w:t>)</w:t>
            </w:r>
            <w:r w:rsidRPr="00017EC8">
              <w:rPr>
                <w:rFonts w:ascii="Arial" w:hAnsi="Arial" w:cs="Arial"/>
                <w:bCs/>
                <w:sz w:val="14"/>
                <w:szCs w:val="14"/>
              </w:rPr>
              <w:t xml:space="preserve"> (suma wierszy od </w:t>
            </w:r>
            <w:r w:rsidRPr="00007AB4">
              <w:rPr>
                <w:rFonts w:ascii="Arial" w:hAnsi="Arial" w:cs="Arial"/>
                <w:bCs/>
                <w:sz w:val="14"/>
                <w:szCs w:val="14"/>
              </w:rPr>
              <w:t>166 do 205</w:t>
            </w:r>
            <w:r w:rsidRPr="00017EC8">
              <w:rPr>
                <w:rFonts w:ascii="Arial" w:hAnsi="Arial" w:cs="Arial"/>
                <w:bCs/>
                <w:sz w:val="14"/>
                <w:szCs w:val="14"/>
              </w:rPr>
              <w:t>)</w:t>
            </w:r>
          </w:p>
        </w:tc>
        <w:tc>
          <w:tcPr>
            <w:tcW w:w="288" w:type="dxa"/>
            <w:tcBorders>
              <w:right w:val="single" w:sz="12" w:space="0" w:color="auto"/>
            </w:tcBorders>
            <w:vAlign w:val="center"/>
          </w:tcPr>
          <w:p w:rsidR="00007AB4" w:rsidRPr="00017EC8" w:rsidRDefault="00007AB4" w:rsidP="00007AB4">
            <w:pPr>
              <w:spacing w:after="40" w:line="140" w:lineRule="exact"/>
              <w:ind w:left="85" w:right="85"/>
              <w:jc w:val="center"/>
              <w:rPr>
                <w:rFonts w:ascii="Arial" w:hAnsi="Arial" w:cs="Arial"/>
                <w:sz w:val="14"/>
              </w:rPr>
            </w:pPr>
            <w:r w:rsidRPr="00017EC8">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175</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1.523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1.653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c) 1.484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15</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84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19</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67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45</w:t>
            </w:r>
          </w:p>
        </w:tc>
      </w:tr>
      <w:tr w:rsidR="00007AB4" w:rsidRPr="00520B26" w:rsidTr="00007AB4">
        <w:trPr>
          <w:gridAfter w:val="1"/>
          <w:wAfter w:w="8" w:type="dxa"/>
          <w:cantSplit/>
          <w:trHeight w:hRule="exact" w:val="340"/>
        </w:trPr>
        <w:tc>
          <w:tcPr>
            <w:tcW w:w="2929" w:type="dxa"/>
            <w:gridSpan w:val="3"/>
            <w:shd w:val="clear" w:color="auto" w:fill="auto"/>
            <w:vAlign w:val="center"/>
          </w:tcPr>
          <w:p w:rsidR="00007AB4" w:rsidRPr="00017EC8" w:rsidRDefault="00007AB4" w:rsidP="00007AB4">
            <w:pPr>
              <w:spacing w:line="140" w:lineRule="exact"/>
              <w:ind w:left="85" w:right="85"/>
              <w:rPr>
                <w:rFonts w:ascii="Arial" w:hAnsi="Arial" w:cs="Arial"/>
                <w:sz w:val="14"/>
                <w:szCs w:val="14"/>
              </w:rPr>
            </w:pPr>
            <w:r w:rsidRPr="00017EC8">
              <w:rPr>
                <w:rFonts w:ascii="Arial" w:hAnsi="Arial" w:cs="Arial"/>
                <w:sz w:val="14"/>
                <w:szCs w:val="14"/>
              </w:rPr>
              <w:t>Odszkodowania z tytułu wypadków komunikacyjnych</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rPr>
            </w:pPr>
            <w:r w:rsidRPr="00017EC8">
              <w:rPr>
                <w:rFonts w:ascii="Arial" w:hAnsi="Arial" w:cs="Arial"/>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007AB4" w:rsidRPr="00007AB4" w:rsidRDefault="00007AB4" w:rsidP="00007AB4">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C03CC0" w:rsidRPr="00520B26" w:rsidTr="001459A8">
        <w:trPr>
          <w:gridAfter w:val="1"/>
          <w:wAfter w:w="8" w:type="dxa"/>
          <w:cantSplit/>
          <w:trHeight w:hRule="exact" w:val="284"/>
        </w:trPr>
        <w:tc>
          <w:tcPr>
            <w:tcW w:w="1061" w:type="dxa"/>
            <w:gridSpan w:val="2"/>
            <w:vMerge w:val="restart"/>
            <w:shd w:val="clear" w:color="auto" w:fill="auto"/>
            <w:vAlign w:val="center"/>
          </w:tcPr>
          <w:p w:rsidR="00C03CC0" w:rsidRPr="00C03CC0" w:rsidRDefault="00C03CC0" w:rsidP="00C03CC0">
            <w:pPr>
              <w:spacing w:line="120" w:lineRule="exact"/>
              <w:ind w:left="37" w:firstLine="14"/>
              <w:rPr>
                <w:rFonts w:ascii="Arial" w:hAnsi="Arial" w:cs="Arial"/>
                <w:sz w:val="12"/>
                <w:szCs w:val="12"/>
              </w:rPr>
            </w:pPr>
            <w:r w:rsidRPr="00C03CC0">
              <w:rPr>
                <w:rFonts w:ascii="Arial" w:hAnsi="Arial" w:cs="Arial"/>
                <w:sz w:val="12"/>
                <w:szCs w:val="12"/>
              </w:rPr>
              <w:t>Odszkodowania z tytułu wypadków komunikacyjnych</w:t>
            </w:r>
          </w:p>
        </w:tc>
        <w:tc>
          <w:tcPr>
            <w:tcW w:w="1868" w:type="dxa"/>
            <w:shd w:val="clear" w:color="auto" w:fill="auto"/>
            <w:vAlign w:val="center"/>
          </w:tcPr>
          <w:p w:rsidR="00C03CC0" w:rsidRPr="00C03CC0" w:rsidRDefault="00C03CC0" w:rsidP="00C03CC0">
            <w:pPr>
              <w:ind w:left="70" w:firstLine="14"/>
              <w:rPr>
                <w:rFonts w:ascii="Arial" w:hAnsi="Arial" w:cs="Arial"/>
                <w:sz w:val="12"/>
                <w:szCs w:val="12"/>
              </w:rPr>
            </w:pPr>
            <w:r w:rsidRPr="00C03CC0">
              <w:rPr>
                <w:rFonts w:ascii="Arial" w:hAnsi="Arial" w:cs="Arial"/>
                <w:sz w:val="12"/>
                <w:szCs w:val="12"/>
              </w:rPr>
              <w:t>z wyłączeniem spraw o symbolu 325, 014oc i 014pz</w:t>
            </w:r>
          </w:p>
        </w:tc>
        <w:tc>
          <w:tcPr>
            <w:tcW w:w="288" w:type="dxa"/>
            <w:tcBorders>
              <w:right w:val="single" w:sz="12" w:space="0" w:color="auto"/>
            </w:tcBorders>
            <w:shd w:val="clear" w:color="auto" w:fill="auto"/>
            <w:vAlign w:val="center"/>
          </w:tcPr>
          <w:p w:rsidR="00C03CC0" w:rsidRPr="00C03CC0" w:rsidRDefault="00C03CC0" w:rsidP="00C03CC0">
            <w:pPr>
              <w:spacing w:line="120" w:lineRule="exact"/>
              <w:ind w:left="-57" w:right="-57"/>
              <w:jc w:val="center"/>
              <w:rPr>
                <w:rFonts w:ascii="Arial" w:hAnsi="Arial" w:cs="Arial"/>
                <w:sz w:val="12"/>
                <w:szCs w:val="12"/>
              </w:rPr>
            </w:pPr>
            <w:r w:rsidRPr="00C03CC0">
              <w:rPr>
                <w:rFonts w:ascii="Arial" w:hAnsi="Arial" w:cs="Arial"/>
                <w:sz w:val="12"/>
                <w:szCs w:val="12"/>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1459A8">
        <w:trPr>
          <w:gridAfter w:val="1"/>
          <w:wAfter w:w="8" w:type="dxa"/>
          <w:cantSplit/>
          <w:trHeight w:hRule="exact" w:val="454"/>
        </w:trPr>
        <w:tc>
          <w:tcPr>
            <w:tcW w:w="1061" w:type="dxa"/>
            <w:gridSpan w:val="2"/>
            <w:vMerge/>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p>
        </w:tc>
        <w:tc>
          <w:tcPr>
            <w:tcW w:w="1868" w:type="dxa"/>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r w:rsidRPr="00C03CC0">
              <w:rPr>
                <w:rFonts w:ascii="Arial" w:hAnsi="Arial" w:cs="Arial"/>
                <w:sz w:val="12"/>
                <w:szCs w:val="12"/>
              </w:rPr>
              <w:t>spory na tle ubezpieczeń OC posiadaczy pojazdów mechanicznych  z wyłączeniem spraw o symbolu 014pz</w:t>
            </w:r>
          </w:p>
        </w:tc>
        <w:tc>
          <w:tcPr>
            <w:tcW w:w="288" w:type="dxa"/>
            <w:tcBorders>
              <w:right w:val="single" w:sz="12" w:space="0" w:color="auto"/>
            </w:tcBorders>
            <w:vAlign w:val="center"/>
          </w:tcPr>
          <w:p w:rsidR="00C03CC0" w:rsidRPr="00C03CC0" w:rsidRDefault="00C03CC0" w:rsidP="00C03CC0">
            <w:pPr>
              <w:spacing w:line="120" w:lineRule="exact"/>
              <w:jc w:val="center"/>
              <w:rPr>
                <w:rFonts w:ascii="Arial" w:hAnsi="Arial" w:cs="Arial"/>
                <w:color w:val="000000"/>
                <w:sz w:val="12"/>
                <w:szCs w:val="12"/>
              </w:rPr>
            </w:pPr>
            <w:r w:rsidRPr="00C03CC0">
              <w:rPr>
                <w:rFonts w:ascii="Arial" w:hAnsi="Arial" w:cs="Arial"/>
                <w:sz w:val="12"/>
                <w:szCs w:val="12"/>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1459A8">
        <w:trPr>
          <w:gridAfter w:val="1"/>
          <w:wAfter w:w="8" w:type="dxa"/>
          <w:cantSplit/>
          <w:trHeight w:hRule="exact" w:val="510"/>
        </w:trPr>
        <w:tc>
          <w:tcPr>
            <w:tcW w:w="1061" w:type="dxa"/>
            <w:gridSpan w:val="2"/>
            <w:vMerge/>
            <w:shd w:val="clear" w:color="auto" w:fill="auto"/>
            <w:vAlign w:val="center"/>
          </w:tcPr>
          <w:p w:rsidR="00C03CC0" w:rsidRPr="00C03CC0" w:rsidRDefault="00C03CC0" w:rsidP="00C03CC0">
            <w:pPr>
              <w:pStyle w:val="Tekstpodstawowy"/>
              <w:ind w:left="56"/>
              <w:rPr>
                <w:rFonts w:cs="Arial"/>
                <w:szCs w:val="12"/>
              </w:rPr>
            </w:pPr>
          </w:p>
        </w:tc>
        <w:tc>
          <w:tcPr>
            <w:tcW w:w="1868" w:type="dxa"/>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r w:rsidRPr="00C03CC0">
              <w:rPr>
                <w:rFonts w:ascii="Arial" w:hAnsi="Arial" w:cs="Arial"/>
                <w:sz w:val="12"/>
                <w:szCs w:val="12"/>
              </w:rPr>
              <w:t>roszczenia z tytułu zwrotu kosztów najmu pojazdu zastępczego przeciwko ubezpieczycielowi OC posiadacza pojazdu mechanicznego</w:t>
            </w:r>
          </w:p>
        </w:tc>
        <w:tc>
          <w:tcPr>
            <w:tcW w:w="288" w:type="dxa"/>
            <w:tcBorders>
              <w:right w:val="single" w:sz="12" w:space="0" w:color="auto"/>
            </w:tcBorders>
            <w:vAlign w:val="center"/>
          </w:tcPr>
          <w:p w:rsidR="00C03CC0" w:rsidRPr="00C03CC0" w:rsidRDefault="00C03CC0" w:rsidP="00C03CC0">
            <w:pPr>
              <w:spacing w:line="120" w:lineRule="exact"/>
              <w:jc w:val="center"/>
              <w:rPr>
                <w:rFonts w:ascii="Arial" w:hAnsi="Arial" w:cs="Arial"/>
                <w:color w:val="000000"/>
                <w:sz w:val="12"/>
                <w:szCs w:val="12"/>
              </w:rPr>
            </w:pPr>
            <w:r w:rsidRPr="00C03CC0">
              <w:rPr>
                <w:rFonts w:ascii="Arial" w:hAnsi="Arial" w:cs="Arial"/>
                <w:sz w:val="12"/>
                <w:szCs w:val="12"/>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B83A45">
        <w:trPr>
          <w:gridAfter w:val="1"/>
          <w:wAfter w:w="8" w:type="dxa"/>
          <w:cantSplit/>
          <w:trHeight w:hRule="exact" w:val="284"/>
        </w:trPr>
        <w:tc>
          <w:tcPr>
            <w:tcW w:w="2929" w:type="dxa"/>
            <w:gridSpan w:val="3"/>
            <w:shd w:val="clear" w:color="auto" w:fill="auto"/>
            <w:vAlign w:val="center"/>
          </w:tcPr>
          <w:p w:rsidR="00C03CC0" w:rsidRPr="00017EC8" w:rsidRDefault="00C03CC0" w:rsidP="00C03CC0">
            <w:pPr>
              <w:spacing w:line="140" w:lineRule="exact"/>
              <w:ind w:left="85" w:right="85"/>
              <w:rPr>
                <w:rFonts w:ascii="Arial" w:hAnsi="Arial" w:cs="Arial"/>
                <w:sz w:val="14"/>
                <w:szCs w:val="14"/>
              </w:rPr>
            </w:pPr>
            <w:r w:rsidRPr="00017EC8">
              <w:rPr>
                <w:rFonts w:ascii="Arial" w:hAnsi="Arial" w:cs="Arial"/>
                <w:sz w:val="14"/>
                <w:szCs w:val="14"/>
              </w:rPr>
              <w:t>Roszczenia związane z rękojmią i gwarancją (dotyczy wszystkich rodzajów umów)</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1"/>
              </w:rPr>
            </w:pPr>
            <w:r w:rsidRPr="00017EC8">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B83A45">
        <w:trPr>
          <w:gridAfter w:val="1"/>
          <w:wAfter w:w="8" w:type="dxa"/>
          <w:cantSplit/>
          <w:trHeight w:hRule="exact" w:val="198"/>
        </w:trPr>
        <w:tc>
          <w:tcPr>
            <w:tcW w:w="2929" w:type="dxa"/>
            <w:gridSpan w:val="3"/>
            <w:shd w:val="clear" w:color="auto" w:fill="auto"/>
            <w:vAlign w:val="center"/>
          </w:tcPr>
          <w:p w:rsidR="00C03CC0" w:rsidRPr="00017EC8" w:rsidRDefault="00C03CC0" w:rsidP="00C03CC0">
            <w:pPr>
              <w:spacing w:line="140" w:lineRule="exact"/>
              <w:ind w:left="85" w:right="85"/>
              <w:rPr>
                <w:rFonts w:ascii="Arial" w:hAnsi="Arial" w:cs="Arial"/>
                <w:sz w:val="14"/>
                <w:szCs w:val="14"/>
              </w:rPr>
            </w:pPr>
            <w:r w:rsidRPr="00017EC8">
              <w:rPr>
                <w:rFonts w:ascii="Arial" w:hAnsi="Arial" w:cs="Arial"/>
                <w:sz w:val="14"/>
                <w:szCs w:val="14"/>
              </w:rPr>
              <w:t>Roszczenia z tytułu umów kontraktacji</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1"/>
              </w:rPr>
            </w:pPr>
            <w:r w:rsidRPr="00017EC8">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C03CC0">
        <w:trPr>
          <w:gridAfter w:val="1"/>
          <w:wAfter w:w="8" w:type="dxa"/>
          <w:cantSplit/>
          <w:trHeight w:hRule="exact" w:val="170"/>
        </w:trPr>
        <w:tc>
          <w:tcPr>
            <w:tcW w:w="2929" w:type="dxa"/>
            <w:gridSpan w:val="3"/>
            <w:shd w:val="clear" w:color="auto" w:fill="auto"/>
            <w:vAlign w:val="center"/>
          </w:tcPr>
          <w:p w:rsidR="00C03CC0" w:rsidRPr="00017EC8" w:rsidRDefault="00C03CC0" w:rsidP="00C03CC0">
            <w:pPr>
              <w:spacing w:line="120" w:lineRule="exact"/>
              <w:ind w:left="57"/>
              <w:rPr>
                <w:rFonts w:ascii="Arial" w:hAnsi="Arial" w:cs="Arial"/>
                <w:sz w:val="14"/>
                <w:szCs w:val="14"/>
              </w:rPr>
            </w:pPr>
            <w:r w:rsidRPr="00017EC8">
              <w:rPr>
                <w:rFonts w:ascii="Arial" w:hAnsi="Arial" w:cs="Arial"/>
                <w:sz w:val="14"/>
                <w:szCs w:val="14"/>
              </w:rPr>
              <w:t>Spory na tle waloryzacji (art. 358</w:t>
            </w:r>
            <w:r w:rsidRPr="00017EC8">
              <w:rPr>
                <w:rFonts w:ascii="Arial" w:hAnsi="Arial" w:cs="Arial"/>
                <w:sz w:val="14"/>
                <w:szCs w:val="14"/>
                <w:vertAlign w:val="superscript"/>
              </w:rPr>
              <w:t>1</w:t>
            </w:r>
            <w:r w:rsidRPr="00017EC8">
              <w:rPr>
                <w:rFonts w:ascii="Arial" w:hAnsi="Arial" w:cs="Arial"/>
                <w:sz w:val="14"/>
                <w:szCs w:val="14"/>
              </w:rPr>
              <w:t xml:space="preserve"> kc)</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2"/>
                <w:szCs w:val="12"/>
              </w:rPr>
            </w:pPr>
            <w:r w:rsidRPr="00017EC8">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1459A8" w:rsidRPr="00520B26" w:rsidTr="001459A8">
        <w:trPr>
          <w:gridAfter w:val="1"/>
          <w:wAfter w:w="8" w:type="dxa"/>
          <w:cantSplit/>
          <w:trHeight w:hRule="exact" w:val="227"/>
        </w:trPr>
        <w:tc>
          <w:tcPr>
            <w:tcW w:w="1061" w:type="dxa"/>
            <w:gridSpan w:val="2"/>
            <w:vMerge w:val="restart"/>
            <w:shd w:val="clear" w:color="auto" w:fill="auto"/>
            <w:vAlign w:val="center"/>
          </w:tcPr>
          <w:p w:rsidR="001459A8" w:rsidRPr="00017EC8" w:rsidRDefault="001459A8" w:rsidP="001459A8">
            <w:pPr>
              <w:pStyle w:val="Tekstpodstawowy"/>
              <w:ind w:left="56"/>
              <w:rPr>
                <w:rFonts w:cs="Arial"/>
                <w:color w:val="auto"/>
                <w:sz w:val="14"/>
                <w:szCs w:val="14"/>
              </w:rPr>
            </w:pPr>
            <w:r w:rsidRPr="00017EC8">
              <w:rPr>
                <w:rFonts w:cs="Arial"/>
                <w:color w:val="auto"/>
                <w:sz w:val="14"/>
                <w:szCs w:val="14"/>
              </w:rPr>
              <w:t>Spory na tle obrotu</w:t>
            </w:r>
          </w:p>
        </w:tc>
        <w:tc>
          <w:tcPr>
            <w:tcW w:w="1868" w:type="dxa"/>
            <w:vAlign w:val="center"/>
          </w:tcPr>
          <w:p w:rsidR="001459A8" w:rsidRPr="00017EC8" w:rsidRDefault="001459A8" w:rsidP="001459A8">
            <w:pPr>
              <w:spacing w:line="120" w:lineRule="exact"/>
              <w:ind w:left="57"/>
              <w:rPr>
                <w:rFonts w:ascii="Arial" w:hAnsi="Arial" w:cs="Arial"/>
                <w:sz w:val="14"/>
                <w:szCs w:val="14"/>
              </w:rPr>
            </w:pPr>
            <w:r w:rsidRPr="00017EC8">
              <w:rPr>
                <w:rFonts w:ascii="Arial" w:hAnsi="Arial" w:cs="Arial"/>
                <w:sz w:val="14"/>
                <w:szCs w:val="14"/>
              </w:rPr>
              <w:t>akcjami</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1459A8">
        <w:trPr>
          <w:gridAfter w:val="1"/>
          <w:wAfter w:w="8" w:type="dxa"/>
          <w:cantSplit/>
          <w:trHeight w:hRule="exact" w:val="227"/>
        </w:trPr>
        <w:tc>
          <w:tcPr>
            <w:tcW w:w="1061" w:type="dxa"/>
            <w:gridSpan w:val="2"/>
            <w:vMerge/>
            <w:shd w:val="clear" w:color="auto" w:fill="auto"/>
            <w:vAlign w:val="center"/>
          </w:tcPr>
          <w:p w:rsidR="001459A8" w:rsidRPr="00520B26" w:rsidRDefault="001459A8" w:rsidP="001459A8">
            <w:pPr>
              <w:spacing w:line="120" w:lineRule="exact"/>
              <w:ind w:left="57"/>
              <w:rPr>
                <w:rFonts w:ascii="Arial" w:hAnsi="Arial" w:cs="Arial"/>
                <w:color w:val="000000"/>
                <w:sz w:val="14"/>
                <w:szCs w:val="14"/>
              </w:rPr>
            </w:pPr>
          </w:p>
        </w:tc>
        <w:tc>
          <w:tcPr>
            <w:tcW w:w="1868" w:type="dxa"/>
            <w:vAlign w:val="center"/>
          </w:tcPr>
          <w:p w:rsidR="001459A8" w:rsidRPr="00520B26" w:rsidRDefault="001459A8" w:rsidP="001459A8">
            <w:pPr>
              <w:spacing w:line="120" w:lineRule="exact"/>
              <w:ind w:left="57"/>
              <w:rPr>
                <w:rFonts w:ascii="Arial" w:hAnsi="Arial" w:cs="Arial"/>
                <w:color w:val="000000"/>
                <w:sz w:val="14"/>
                <w:szCs w:val="14"/>
              </w:rPr>
            </w:pPr>
            <w:r w:rsidRPr="00017EC8">
              <w:rPr>
                <w:rFonts w:ascii="Arial" w:hAnsi="Arial" w:cs="Arial"/>
                <w:sz w:val="14"/>
                <w:szCs w:val="14"/>
              </w:rPr>
              <w:t>innymi papierami wartościowymi</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gridAfter w:val="1"/>
          <w:wAfter w:w="8" w:type="dxa"/>
          <w:cantSplit/>
          <w:trHeight w:hRule="exact" w:val="227"/>
        </w:trPr>
        <w:tc>
          <w:tcPr>
            <w:tcW w:w="2929" w:type="dxa"/>
            <w:gridSpan w:val="3"/>
            <w:shd w:val="clear" w:color="auto" w:fill="auto"/>
            <w:vAlign w:val="center"/>
          </w:tcPr>
          <w:p w:rsidR="001459A8" w:rsidRPr="00017EC8" w:rsidRDefault="001459A8" w:rsidP="001459A8">
            <w:pPr>
              <w:ind w:left="57"/>
              <w:rPr>
                <w:rFonts w:ascii="Arial" w:hAnsi="Arial" w:cs="Arial"/>
                <w:sz w:val="14"/>
                <w:szCs w:val="14"/>
              </w:rPr>
            </w:pPr>
            <w:r w:rsidRPr="00017EC8">
              <w:rPr>
                <w:rFonts w:ascii="Arial" w:hAnsi="Arial" w:cs="Arial"/>
                <w:sz w:val="14"/>
                <w:szCs w:val="14"/>
              </w:rPr>
              <w:t>Roszczenia z umowy spółki cywilnej</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gridAfter w:val="1"/>
          <w:wAfter w:w="8" w:type="dxa"/>
          <w:cantSplit/>
          <w:trHeight w:val="341"/>
        </w:trPr>
        <w:tc>
          <w:tcPr>
            <w:tcW w:w="2929" w:type="dxa"/>
            <w:gridSpan w:val="3"/>
            <w:shd w:val="clear" w:color="auto" w:fill="auto"/>
            <w:vAlign w:val="center"/>
          </w:tcPr>
          <w:p w:rsidR="001459A8" w:rsidRPr="00017EC8" w:rsidRDefault="001459A8" w:rsidP="001459A8">
            <w:pPr>
              <w:spacing w:line="120" w:lineRule="exact"/>
              <w:ind w:left="63"/>
              <w:rPr>
                <w:rFonts w:ascii="Arial" w:hAnsi="Arial" w:cs="Arial"/>
                <w:sz w:val="12"/>
                <w:szCs w:val="12"/>
              </w:rPr>
            </w:pPr>
            <w:r w:rsidRPr="00017EC8">
              <w:rPr>
                <w:rFonts w:ascii="Arial" w:hAnsi="Arial" w:cs="Arial"/>
                <w:sz w:val="12"/>
                <w:szCs w:val="12"/>
              </w:rPr>
              <w:t>Roszczenia z umów ubezpieczenia, z wyłączeniem    spraw o symbolu 014wk, 014oc, 014pz</w:t>
            </w:r>
          </w:p>
        </w:tc>
        <w:tc>
          <w:tcPr>
            <w:tcW w:w="288" w:type="dxa"/>
            <w:tcBorders>
              <w:right w:val="single" w:sz="12" w:space="0" w:color="auto"/>
            </w:tcBorders>
            <w:shd w:val="clear" w:color="auto" w:fill="auto"/>
            <w:vAlign w:val="center"/>
          </w:tcPr>
          <w:p w:rsidR="001459A8" w:rsidRPr="00017EC8" w:rsidRDefault="001459A8" w:rsidP="001459A8">
            <w:pPr>
              <w:spacing w:line="120" w:lineRule="exact"/>
              <w:jc w:val="center"/>
              <w:rPr>
                <w:rFonts w:ascii="Arial" w:hAnsi="Arial" w:cs="Arial"/>
                <w:sz w:val="11"/>
                <w:szCs w:val="11"/>
              </w:rPr>
            </w:pPr>
            <w:r w:rsidRPr="00017EC8">
              <w:rPr>
                <w:rFonts w:ascii="Arial" w:hAnsi="Arial" w:cs="Arial"/>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10</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68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77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55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r>
      <w:tr w:rsidR="001459A8" w:rsidRPr="00520B26" w:rsidTr="001459A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29" w:type="dxa"/>
            <w:gridSpan w:val="3"/>
            <w:shd w:val="clear" w:color="auto" w:fill="auto"/>
            <w:vAlign w:val="center"/>
          </w:tcPr>
          <w:p w:rsidR="001459A8" w:rsidRPr="00017EC8" w:rsidRDefault="001459A8" w:rsidP="001459A8">
            <w:pPr>
              <w:ind w:left="57"/>
              <w:rPr>
                <w:rFonts w:ascii="Arial" w:hAnsi="Arial" w:cs="Arial"/>
                <w:sz w:val="14"/>
                <w:szCs w:val="14"/>
              </w:rPr>
            </w:pPr>
            <w:r w:rsidRPr="00017EC8">
              <w:rPr>
                <w:rFonts w:ascii="Arial" w:hAnsi="Arial" w:cs="Arial"/>
                <w:sz w:val="14"/>
                <w:szCs w:val="14"/>
              </w:rPr>
              <w:t>Roszczenia z umowy komisu</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048</w:t>
            </w:r>
          </w:p>
        </w:tc>
        <w:tc>
          <w:tcPr>
            <w:tcW w:w="451" w:type="dxa"/>
            <w:tcBorders>
              <w:left w:val="single" w:sz="18" w:space="0" w:color="auto"/>
            </w:tcBorders>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1459A8" w:rsidRDefault="001459A8" w:rsidP="001459A8">
            <w:pPr>
              <w:jc w:val="right"/>
              <w:rPr>
                <w:rFonts w:ascii="Arial" w:hAnsi="Arial" w:cs="Arial"/>
                <w:color w:val="000000"/>
                <w:sz w:val="14"/>
                <w:szCs w:val="14"/>
              </w:rPr>
            </w:pPr>
          </w:p>
        </w:tc>
        <w:tc>
          <w:tcPr>
            <w:tcW w:w="1035" w:type="dxa"/>
            <w:gridSpan w:val="3"/>
            <w:vAlign w:val="center"/>
          </w:tcPr>
          <w:p w:rsidR="001459A8" w:rsidRDefault="001459A8" w:rsidP="001459A8">
            <w:pPr>
              <w:jc w:val="right"/>
              <w:rPr>
                <w:rFonts w:ascii="Arial" w:hAnsi="Arial" w:cs="Arial"/>
                <w:color w:val="000000"/>
                <w:sz w:val="14"/>
                <w:szCs w:val="14"/>
              </w:rPr>
            </w:pPr>
          </w:p>
        </w:tc>
        <w:tc>
          <w:tcPr>
            <w:tcW w:w="963" w:type="dxa"/>
            <w:vAlign w:val="center"/>
          </w:tcPr>
          <w:p w:rsidR="001459A8" w:rsidRDefault="001459A8" w:rsidP="001459A8">
            <w:pPr>
              <w:jc w:val="right"/>
              <w:rPr>
                <w:rFonts w:ascii="Arial" w:hAnsi="Arial" w:cs="Arial"/>
                <w:color w:val="000000"/>
                <w:sz w:val="14"/>
                <w:szCs w:val="14"/>
              </w:rPr>
            </w:pPr>
            <w:r w:rsidRPr="005F41EC">
              <w:rPr>
                <w:rFonts w:ascii="Arial" w:hAnsi="Arial" w:cs="Arial"/>
                <w:color w:val="000000"/>
                <w:sz w:val="14"/>
                <w:szCs w:val="14"/>
              </w:rPr>
              <w:t>i)</w:t>
            </w:r>
          </w:p>
        </w:tc>
        <w:tc>
          <w:tcPr>
            <w:tcW w:w="904" w:type="dxa"/>
            <w:vAlign w:val="center"/>
          </w:tcPr>
          <w:p w:rsidR="001459A8" w:rsidRDefault="001459A8" w:rsidP="001459A8">
            <w:pPr>
              <w:jc w:val="right"/>
              <w:rPr>
                <w:rFonts w:ascii="Arial" w:hAnsi="Arial" w:cs="Arial"/>
                <w:color w:val="000000"/>
                <w:sz w:val="14"/>
                <w:szCs w:val="14"/>
              </w:rPr>
            </w:pPr>
          </w:p>
        </w:tc>
        <w:tc>
          <w:tcPr>
            <w:tcW w:w="711" w:type="dxa"/>
            <w:gridSpan w:val="2"/>
            <w:vAlign w:val="center"/>
          </w:tcPr>
          <w:p w:rsidR="001459A8" w:rsidRDefault="001459A8" w:rsidP="001459A8">
            <w:pPr>
              <w:jc w:val="right"/>
              <w:rPr>
                <w:rFonts w:ascii="Arial" w:hAnsi="Arial" w:cs="Arial"/>
                <w:color w:val="000000"/>
                <w:sz w:val="14"/>
                <w:szCs w:val="14"/>
              </w:rPr>
            </w:pPr>
          </w:p>
        </w:tc>
        <w:tc>
          <w:tcPr>
            <w:tcW w:w="744" w:type="dxa"/>
            <w:vAlign w:val="center"/>
          </w:tcPr>
          <w:p w:rsidR="001459A8" w:rsidRDefault="001459A8" w:rsidP="001459A8">
            <w:pPr>
              <w:jc w:val="right"/>
              <w:rPr>
                <w:rFonts w:ascii="Arial" w:hAnsi="Arial" w:cs="Arial"/>
                <w:color w:val="000000"/>
                <w:sz w:val="14"/>
                <w:szCs w:val="14"/>
              </w:rPr>
            </w:pPr>
          </w:p>
        </w:tc>
        <w:tc>
          <w:tcPr>
            <w:tcW w:w="700" w:type="dxa"/>
            <w:gridSpan w:val="2"/>
            <w:vAlign w:val="center"/>
          </w:tcPr>
          <w:p w:rsidR="001459A8" w:rsidRDefault="001459A8" w:rsidP="001459A8">
            <w:pPr>
              <w:jc w:val="right"/>
              <w:rPr>
                <w:rFonts w:ascii="Arial" w:hAnsi="Arial" w:cs="Arial"/>
                <w:color w:val="000000"/>
                <w:sz w:val="14"/>
                <w:szCs w:val="14"/>
              </w:rPr>
            </w:pPr>
          </w:p>
        </w:tc>
        <w:tc>
          <w:tcPr>
            <w:tcW w:w="803" w:type="dxa"/>
            <w:vAlign w:val="center"/>
          </w:tcPr>
          <w:p w:rsidR="001459A8" w:rsidRDefault="001459A8" w:rsidP="001459A8">
            <w:pPr>
              <w:jc w:val="right"/>
              <w:rPr>
                <w:rFonts w:ascii="Arial" w:hAnsi="Arial" w:cs="Arial"/>
                <w:color w:val="000000"/>
                <w:sz w:val="14"/>
                <w:szCs w:val="14"/>
              </w:rPr>
            </w:pPr>
          </w:p>
        </w:tc>
        <w:tc>
          <w:tcPr>
            <w:tcW w:w="839" w:type="dxa"/>
            <w:vAlign w:val="center"/>
          </w:tcPr>
          <w:p w:rsidR="001459A8" w:rsidRDefault="001459A8" w:rsidP="001459A8">
            <w:pPr>
              <w:jc w:val="right"/>
              <w:rPr>
                <w:rFonts w:ascii="Arial" w:hAnsi="Arial" w:cs="Arial"/>
                <w:color w:val="000000"/>
                <w:sz w:val="14"/>
                <w:szCs w:val="14"/>
              </w:rPr>
            </w:pPr>
          </w:p>
        </w:tc>
        <w:tc>
          <w:tcPr>
            <w:tcW w:w="630" w:type="dxa"/>
            <w:gridSpan w:val="2"/>
            <w:vAlign w:val="center"/>
          </w:tcPr>
          <w:p w:rsidR="001459A8" w:rsidRDefault="001459A8" w:rsidP="001459A8">
            <w:pPr>
              <w:jc w:val="right"/>
              <w:rPr>
                <w:rFonts w:ascii="Arial" w:hAnsi="Arial" w:cs="Arial"/>
                <w:color w:val="000000"/>
                <w:sz w:val="14"/>
                <w:szCs w:val="14"/>
              </w:rPr>
            </w:pPr>
          </w:p>
        </w:tc>
        <w:tc>
          <w:tcPr>
            <w:tcW w:w="840" w:type="dxa"/>
            <w:gridSpan w:val="2"/>
            <w:vAlign w:val="center"/>
          </w:tcPr>
          <w:p w:rsidR="001459A8" w:rsidRDefault="001459A8" w:rsidP="001459A8">
            <w:pPr>
              <w:jc w:val="right"/>
              <w:rPr>
                <w:rFonts w:ascii="Arial" w:hAnsi="Arial" w:cs="Arial"/>
                <w:color w:val="000000"/>
                <w:sz w:val="14"/>
                <w:szCs w:val="14"/>
              </w:rPr>
            </w:pPr>
          </w:p>
        </w:tc>
        <w:tc>
          <w:tcPr>
            <w:tcW w:w="896" w:type="dxa"/>
            <w:vAlign w:val="center"/>
          </w:tcPr>
          <w:p w:rsidR="001459A8" w:rsidRDefault="001459A8" w:rsidP="001459A8">
            <w:pPr>
              <w:jc w:val="right"/>
              <w:rPr>
                <w:rFonts w:ascii="Arial" w:hAnsi="Arial" w:cs="Arial"/>
                <w:color w:val="000000"/>
                <w:sz w:val="14"/>
                <w:szCs w:val="14"/>
              </w:rPr>
            </w:pPr>
          </w:p>
        </w:tc>
        <w:tc>
          <w:tcPr>
            <w:tcW w:w="666" w:type="dxa"/>
            <w:vAlign w:val="center"/>
          </w:tcPr>
          <w:p w:rsidR="001459A8" w:rsidRDefault="001459A8" w:rsidP="001459A8">
            <w:pPr>
              <w:jc w:val="right"/>
              <w:rPr>
                <w:rFonts w:ascii="Arial" w:hAnsi="Arial" w:cs="Arial"/>
                <w:color w:val="000000"/>
                <w:sz w:val="14"/>
                <w:szCs w:val="14"/>
              </w:rPr>
            </w:pPr>
          </w:p>
        </w:tc>
        <w:tc>
          <w:tcPr>
            <w:tcW w:w="908" w:type="dxa"/>
            <w:vAlign w:val="center"/>
          </w:tcPr>
          <w:p w:rsidR="001459A8" w:rsidRDefault="001459A8" w:rsidP="001459A8">
            <w:pPr>
              <w:jc w:val="right"/>
              <w:rPr>
                <w:rFonts w:ascii="Arial" w:hAnsi="Arial" w:cs="Arial"/>
                <w:color w:val="000000"/>
                <w:sz w:val="14"/>
                <w:szCs w:val="14"/>
              </w:rPr>
            </w:pPr>
          </w:p>
        </w:tc>
        <w:tc>
          <w:tcPr>
            <w:tcW w:w="868" w:type="dxa"/>
            <w:gridSpan w:val="2"/>
            <w:tcBorders>
              <w:right w:val="single" w:sz="18" w:space="0" w:color="auto"/>
            </w:tcBorders>
            <w:vAlign w:val="center"/>
          </w:tcPr>
          <w:p w:rsidR="001459A8" w:rsidRDefault="001459A8" w:rsidP="001459A8">
            <w:pPr>
              <w:jc w:val="right"/>
              <w:rPr>
                <w:rFonts w:ascii="Arial" w:hAnsi="Arial" w:cs="Arial"/>
                <w:color w:val="000000"/>
                <w:sz w:val="14"/>
                <w:szCs w:val="14"/>
              </w:rPr>
            </w:pPr>
          </w:p>
        </w:tc>
      </w:tr>
      <w:tr w:rsidR="001459A8" w:rsidRPr="00520B26" w:rsidTr="001459A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1061" w:type="dxa"/>
            <w:gridSpan w:val="2"/>
            <w:vMerge w:val="restart"/>
            <w:shd w:val="clear" w:color="auto" w:fill="auto"/>
            <w:vAlign w:val="center"/>
          </w:tcPr>
          <w:p w:rsidR="001459A8" w:rsidRPr="00017EC8" w:rsidRDefault="001459A8" w:rsidP="001459A8">
            <w:pPr>
              <w:spacing w:before="20" w:line="120" w:lineRule="exact"/>
              <w:ind w:left="57"/>
              <w:rPr>
                <w:rFonts w:ascii="Arial" w:hAnsi="Arial" w:cs="Arial"/>
                <w:sz w:val="13"/>
                <w:szCs w:val="13"/>
              </w:rPr>
            </w:pPr>
            <w:r w:rsidRPr="00017EC8">
              <w:rPr>
                <w:rFonts w:ascii="Arial" w:hAnsi="Arial" w:cs="Arial"/>
                <w:sz w:val="13"/>
                <w:szCs w:val="13"/>
              </w:rPr>
              <w:t>Roszczenia z umów bankowych, z wyłączeniem spraw o symbolu 049c i 049cf</w:t>
            </w:r>
          </w:p>
        </w:tc>
        <w:tc>
          <w:tcPr>
            <w:tcW w:w="1868" w:type="dxa"/>
            <w:vAlign w:val="center"/>
          </w:tcPr>
          <w:p w:rsidR="001459A8" w:rsidRPr="001459A8" w:rsidRDefault="001459A8" w:rsidP="001459A8">
            <w:pPr>
              <w:spacing w:line="120" w:lineRule="exact"/>
              <w:ind w:left="57"/>
              <w:rPr>
                <w:rFonts w:ascii="Arial" w:hAnsi="Arial" w:cs="Arial"/>
                <w:sz w:val="14"/>
                <w:szCs w:val="14"/>
              </w:rPr>
            </w:pPr>
            <w:r w:rsidRPr="001459A8">
              <w:rPr>
                <w:rFonts w:ascii="Arial" w:hAnsi="Arial" w:cs="Arial"/>
                <w:sz w:val="14"/>
                <w:szCs w:val="14"/>
              </w:rPr>
              <w:t>Poręczenia</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049a</w:t>
            </w:r>
          </w:p>
        </w:tc>
        <w:tc>
          <w:tcPr>
            <w:tcW w:w="451" w:type="dxa"/>
            <w:tcBorders>
              <w:left w:val="single" w:sz="18" w:space="0" w:color="auto"/>
            </w:tcBorders>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1459A8" w:rsidRDefault="001459A8" w:rsidP="001459A8">
            <w:pPr>
              <w:jc w:val="right"/>
              <w:rPr>
                <w:rFonts w:ascii="Arial" w:hAnsi="Arial" w:cs="Arial"/>
                <w:color w:val="000000"/>
                <w:sz w:val="14"/>
                <w:szCs w:val="14"/>
              </w:rPr>
            </w:pPr>
          </w:p>
        </w:tc>
        <w:tc>
          <w:tcPr>
            <w:tcW w:w="1035" w:type="dxa"/>
            <w:gridSpan w:val="3"/>
            <w:vAlign w:val="center"/>
          </w:tcPr>
          <w:p w:rsidR="001459A8" w:rsidRDefault="001459A8" w:rsidP="001459A8">
            <w:pPr>
              <w:jc w:val="right"/>
              <w:rPr>
                <w:rFonts w:ascii="Arial" w:hAnsi="Arial" w:cs="Arial"/>
                <w:color w:val="000000"/>
                <w:sz w:val="14"/>
                <w:szCs w:val="14"/>
              </w:rPr>
            </w:pPr>
          </w:p>
        </w:tc>
        <w:tc>
          <w:tcPr>
            <w:tcW w:w="963" w:type="dxa"/>
            <w:vAlign w:val="center"/>
          </w:tcPr>
          <w:p w:rsidR="001459A8" w:rsidRDefault="001459A8" w:rsidP="001459A8">
            <w:pPr>
              <w:jc w:val="right"/>
              <w:rPr>
                <w:rFonts w:ascii="Arial" w:hAnsi="Arial" w:cs="Arial"/>
                <w:color w:val="000000"/>
                <w:sz w:val="14"/>
                <w:szCs w:val="14"/>
              </w:rPr>
            </w:pPr>
            <w:r w:rsidRPr="007D62B3">
              <w:rPr>
                <w:rFonts w:ascii="Arial" w:hAnsi="Arial" w:cs="Arial"/>
                <w:color w:val="000000"/>
                <w:sz w:val="14"/>
                <w:szCs w:val="14"/>
              </w:rPr>
              <w:t>i)</w:t>
            </w:r>
          </w:p>
        </w:tc>
        <w:tc>
          <w:tcPr>
            <w:tcW w:w="904" w:type="dxa"/>
            <w:vAlign w:val="center"/>
          </w:tcPr>
          <w:p w:rsidR="001459A8" w:rsidRDefault="001459A8" w:rsidP="001459A8">
            <w:pPr>
              <w:jc w:val="right"/>
              <w:rPr>
                <w:rFonts w:ascii="Arial" w:hAnsi="Arial" w:cs="Arial"/>
                <w:color w:val="000000"/>
                <w:sz w:val="14"/>
                <w:szCs w:val="14"/>
              </w:rPr>
            </w:pPr>
          </w:p>
        </w:tc>
        <w:tc>
          <w:tcPr>
            <w:tcW w:w="711" w:type="dxa"/>
            <w:gridSpan w:val="2"/>
            <w:vAlign w:val="center"/>
          </w:tcPr>
          <w:p w:rsidR="001459A8" w:rsidRDefault="001459A8" w:rsidP="001459A8">
            <w:pPr>
              <w:jc w:val="right"/>
              <w:rPr>
                <w:rFonts w:ascii="Arial" w:hAnsi="Arial" w:cs="Arial"/>
                <w:color w:val="000000"/>
                <w:sz w:val="14"/>
                <w:szCs w:val="14"/>
              </w:rPr>
            </w:pPr>
          </w:p>
        </w:tc>
        <w:tc>
          <w:tcPr>
            <w:tcW w:w="744" w:type="dxa"/>
            <w:vAlign w:val="center"/>
          </w:tcPr>
          <w:p w:rsidR="001459A8" w:rsidRDefault="001459A8" w:rsidP="001459A8">
            <w:pPr>
              <w:jc w:val="right"/>
              <w:rPr>
                <w:rFonts w:ascii="Arial" w:hAnsi="Arial" w:cs="Arial"/>
                <w:color w:val="000000"/>
                <w:sz w:val="14"/>
                <w:szCs w:val="14"/>
              </w:rPr>
            </w:pPr>
          </w:p>
        </w:tc>
        <w:tc>
          <w:tcPr>
            <w:tcW w:w="700" w:type="dxa"/>
            <w:gridSpan w:val="2"/>
            <w:vAlign w:val="center"/>
          </w:tcPr>
          <w:p w:rsidR="001459A8" w:rsidRDefault="001459A8" w:rsidP="001459A8">
            <w:pPr>
              <w:jc w:val="right"/>
              <w:rPr>
                <w:rFonts w:ascii="Arial" w:hAnsi="Arial" w:cs="Arial"/>
                <w:color w:val="000000"/>
                <w:sz w:val="14"/>
                <w:szCs w:val="14"/>
              </w:rPr>
            </w:pPr>
          </w:p>
        </w:tc>
        <w:tc>
          <w:tcPr>
            <w:tcW w:w="803" w:type="dxa"/>
            <w:vAlign w:val="center"/>
          </w:tcPr>
          <w:p w:rsidR="001459A8" w:rsidRDefault="001459A8" w:rsidP="001459A8">
            <w:pPr>
              <w:jc w:val="right"/>
              <w:rPr>
                <w:rFonts w:ascii="Arial" w:hAnsi="Arial" w:cs="Arial"/>
                <w:color w:val="000000"/>
                <w:sz w:val="14"/>
                <w:szCs w:val="14"/>
              </w:rPr>
            </w:pPr>
          </w:p>
        </w:tc>
        <w:tc>
          <w:tcPr>
            <w:tcW w:w="839" w:type="dxa"/>
            <w:vAlign w:val="center"/>
          </w:tcPr>
          <w:p w:rsidR="001459A8" w:rsidRDefault="001459A8" w:rsidP="001459A8">
            <w:pPr>
              <w:jc w:val="right"/>
              <w:rPr>
                <w:rFonts w:ascii="Arial" w:hAnsi="Arial" w:cs="Arial"/>
                <w:color w:val="000000"/>
                <w:sz w:val="14"/>
                <w:szCs w:val="14"/>
              </w:rPr>
            </w:pPr>
          </w:p>
        </w:tc>
        <w:tc>
          <w:tcPr>
            <w:tcW w:w="630" w:type="dxa"/>
            <w:gridSpan w:val="2"/>
            <w:vAlign w:val="center"/>
          </w:tcPr>
          <w:p w:rsidR="001459A8" w:rsidRDefault="001459A8" w:rsidP="001459A8">
            <w:pPr>
              <w:jc w:val="right"/>
              <w:rPr>
                <w:rFonts w:ascii="Arial" w:hAnsi="Arial" w:cs="Arial"/>
                <w:color w:val="000000"/>
                <w:sz w:val="14"/>
                <w:szCs w:val="14"/>
              </w:rPr>
            </w:pPr>
          </w:p>
        </w:tc>
        <w:tc>
          <w:tcPr>
            <w:tcW w:w="840" w:type="dxa"/>
            <w:gridSpan w:val="2"/>
            <w:vAlign w:val="center"/>
          </w:tcPr>
          <w:p w:rsidR="001459A8" w:rsidRDefault="001459A8" w:rsidP="001459A8">
            <w:pPr>
              <w:jc w:val="right"/>
              <w:rPr>
                <w:rFonts w:ascii="Arial" w:hAnsi="Arial" w:cs="Arial"/>
                <w:color w:val="000000"/>
                <w:sz w:val="14"/>
                <w:szCs w:val="14"/>
              </w:rPr>
            </w:pPr>
          </w:p>
        </w:tc>
        <w:tc>
          <w:tcPr>
            <w:tcW w:w="896" w:type="dxa"/>
            <w:vAlign w:val="center"/>
          </w:tcPr>
          <w:p w:rsidR="001459A8" w:rsidRDefault="001459A8" w:rsidP="001459A8">
            <w:pPr>
              <w:jc w:val="right"/>
              <w:rPr>
                <w:rFonts w:ascii="Arial" w:hAnsi="Arial" w:cs="Arial"/>
                <w:color w:val="000000"/>
                <w:sz w:val="14"/>
                <w:szCs w:val="14"/>
              </w:rPr>
            </w:pPr>
          </w:p>
        </w:tc>
        <w:tc>
          <w:tcPr>
            <w:tcW w:w="666" w:type="dxa"/>
            <w:vAlign w:val="center"/>
          </w:tcPr>
          <w:p w:rsidR="001459A8" w:rsidRDefault="001459A8" w:rsidP="001459A8">
            <w:pPr>
              <w:jc w:val="right"/>
              <w:rPr>
                <w:rFonts w:ascii="Arial" w:hAnsi="Arial" w:cs="Arial"/>
                <w:color w:val="000000"/>
                <w:sz w:val="14"/>
                <w:szCs w:val="14"/>
              </w:rPr>
            </w:pPr>
          </w:p>
        </w:tc>
        <w:tc>
          <w:tcPr>
            <w:tcW w:w="908" w:type="dxa"/>
            <w:vAlign w:val="center"/>
          </w:tcPr>
          <w:p w:rsidR="001459A8" w:rsidRDefault="001459A8" w:rsidP="001459A8">
            <w:pPr>
              <w:jc w:val="right"/>
              <w:rPr>
                <w:rFonts w:ascii="Arial" w:hAnsi="Arial" w:cs="Arial"/>
                <w:color w:val="000000"/>
                <w:sz w:val="14"/>
                <w:szCs w:val="14"/>
              </w:rPr>
            </w:pPr>
          </w:p>
        </w:tc>
        <w:tc>
          <w:tcPr>
            <w:tcW w:w="868" w:type="dxa"/>
            <w:gridSpan w:val="2"/>
            <w:tcBorders>
              <w:right w:val="single" w:sz="18" w:space="0" w:color="auto"/>
            </w:tcBorders>
            <w:vAlign w:val="center"/>
          </w:tcPr>
          <w:p w:rsidR="001459A8" w:rsidRDefault="001459A8" w:rsidP="001459A8">
            <w:pPr>
              <w:jc w:val="right"/>
              <w:rPr>
                <w:rFonts w:ascii="Arial" w:hAnsi="Arial" w:cs="Arial"/>
                <w:color w:val="000000"/>
                <w:sz w:val="14"/>
                <w:szCs w:val="14"/>
              </w:rPr>
            </w:pPr>
          </w:p>
        </w:tc>
      </w:tr>
      <w:tr w:rsidR="001459A8" w:rsidRPr="00520B26" w:rsidTr="00B83A45">
        <w:trPr>
          <w:cantSplit/>
          <w:trHeight w:hRule="exact" w:val="368"/>
        </w:trPr>
        <w:tc>
          <w:tcPr>
            <w:tcW w:w="1061" w:type="dxa"/>
            <w:gridSpan w:val="2"/>
            <w:vMerge/>
            <w:shd w:val="clear" w:color="auto" w:fill="auto"/>
            <w:vAlign w:val="center"/>
          </w:tcPr>
          <w:p w:rsidR="001459A8" w:rsidRPr="00520B26" w:rsidRDefault="001459A8" w:rsidP="001459A8">
            <w:pPr>
              <w:spacing w:line="120" w:lineRule="exact"/>
              <w:ind w:left="84"/>
              <w:rPr>
                <w:rFonts w:ascii="Arial" w:hAnsi="Arial" w:cs="Arial"/>
                <w:color w:val="000000"/>
                <w:sz w:val="14"/>
                <w:szCs w:val="14"/>
              </w:rPr>
            </w:pPr>
          </w:p>
        </w:tc>
        <w:tc>
          <w:tcPr>
            <w:tcW w:w="1868" w:type="dxa"/>
            <w:vAlign w:val="center"/>
          </w:tcPr>
          <w:p w:rsidR="001459A8" w:rsidRPr="001459A8" w:rsidRDefault="001459A8" w:rsidP="001459A8">
            <w:pPr>
              <w:spacing w:line="120" w:lineRule="exact"/>
              <w:ind w:left="84"/>
              <w:rPr>
                <w:rFonts w:ascii="Arial" w:hAnsi="Arial" w:cs="Arial"/>
                <w:color w:val="000000"/>
                <w:sz w:val="14"/>
                <w:szCs w:val="14"/>
              </w:rPr>
            </w:pPr>
            <w:r w:rsidRPr="001459A8">
              <w:rPr>
                <w:rFonts w:ascii="Arial" w:hAnsi="Arial" w:cs="Arial"/>
                <w:sz w:val="14"/>
                <w:szCs w:val="14"/>
              </w:rPr>
              <w:t>gwarancje bankowe i akredytywy</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cantSplit/>
          <w:trHeight w:hRule="exact" w:val="187"/>
        </w:trPr>
        <w:tc>
          <w:tcPr>
            <w:tcW w:w="1061" w:type="dxa"/>
            <w:gridSpan w:val="2"/>
            <w:vMerge/>
            <w:shd w:val="clear" w:color="auto" w:fill="auto"/>
            <w:vAlign w:val="center"/>
          </w:tcPr>
          <w:p w:rsidR="001459A8" w:rsidRPr="00520B26" w:rsidRDefault="001459A8" w:rsidP="001459A8">
            <w:pPr>
              <w:spacing w:line="120" w:lineRule="exact"/>
              <w:ind w:left="85"/>
              <w:rPr>
                <w:rFonts w:ascii="Arial" w:hAnsi="Arial" w:cs="Arial"/>
                <w:color w:val="000000"/>
                <w:sz w:val="14"/>
                <w:szCs w:val="14"/>
              </w:rPr>
            </w:pPr>
          </w:p>
        </w:tc>
        <w:tc>
          <w:tcPr>
            <w:tcW w:w="1868" w:type="dxa"/>
            <w:vAlign w:val="center"/>
          </w:tcPr>
          <w:p w:rsidR="001459A8" w:rsidRPr="001459A8" w:rsidRDefault="001459A8" w:rsidP="001459A8">
            <w:pPr>
              <w:spacing w:line="120" w:lineRule="exact"/>
              <w:ind w:left="85"/>
              <w:rPr>
                <w:rFonts w:ascii="Arial" w:hAnsi="Arial" w:cs="Arial"/>
                <w:color w:val="000000"/>
                <w:sz w:val="14"/>
                <w:szCs w:val="14"/>
              </w:rPr>
            </w:pPr>
            <w:r w:rsidRPr="001459A8">
              <w:rPr>
                <w:rFonts w:ascii="Arial" w:hAnsi="Arial" w:cs="Arial"/>
                <w:sz w:val="14"/>
                <w:szCs w:val="14"/>
              </w:rPr>
              <w:t>innych</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CF5F41" w:rsidRPr="00520B26" w:rsidTr="00CF5F41">
        <w:trPr>
          <w:cantSplit/>
          <w:trHeight w:val="425"/>
        </w:trPr>
        <w:tc>
          <w:tcPr>
            <w:tcW w:w="777" w:type="dxa"/>
            <w:vMerge w:val="restart"/>
            <w:shd w:val="clear" w:color="auto" w:fill="auto"/>
            <w:vAlign w:val="center"/>
          </w:tcPr>
          <w:p w:rsidR="00CF5F41" w:rsidRPr="00017EC8" w:rsidRDefault="00CF5F41" w:rsidP="00CF5F41">
            <w:pPr>
              <w:spacing w:after="40" w:line="140" w:lineRule="exact"/>
              <w:ind w:left="23" w:right="85"/>
              <w:rPr>
                <w:rFonts w:ascii="Arial" w:hAnsi="Arial" w:cs="Arial"/>
                <w:b/>
                <w:bCs/>
                <w:sz w:val="14"/>
                <w:szCs w:val="14"/>
              </w:rPr>
            </w:pPr>
            <w:r w:rsidRPr="00017EC8">
              <w:rPr>
                <w:rFonts w:ascii="Arial" w:hAnsi="Arial" w:cs="Arial"/>
                <w:sz w:val="14"/>
                <w:szCs w:val="14"/>
              </w:rPr>
              <w:t>Roszczenia z umów bankowych</w:t>
            </w:r>
          </w:p>
        </w:tc>
        <w:tc>
          <w:tcPr>
            <w:tcW w:w="2152" w:type="dxa"/>
            <w:gridSpan w:val="2"/>
            <w:vAlign w:val="center"/>
          </w:tcPr>
          <w:p w:rsidR="00CF5F41" w:rsidRPr="00CF5F41" w:rsidRDefault="00CF5F41" w:rsidP="00CF5F41">
            <w:pPr>
              <w:spacing w:line="120" w:lineRule="exact"/>
              <w:ind w:left="42"/>
              <w:rPr>
                <w:rFonts w:ascii="Arial" w:hAnsi="Arial" w:cs="Arial"/>
                <w:sz w:val="14"/>
                <w:szCs w:val="14"/>
              </w:rPr>
            </w:pPr>
            <w:r w:rsidRPr="00CF5F41">
              <w:rPr>
                <w:rFonts w:ascii="Arial" w:hAnsi="Arial" w:cs="Arial"/>
                <w:sz w:val="14"/>
                <w:szCs w:val="14"/>
              </w:rPr>
              <w:t>waloryzowanych/ denominowanych /indeksowanych do waluty innej niż waluta polska z wyłączeniem denominowanych /indeksowanych do franka szwajcarskiego</w:t>
            </w:r>
          </w:p>
        </w:tc>
        <w:tc>
          <w:tcPr>
            <w:tcW w:w="288" w:type="dxa"/>
            <w:tcBorders>
              <w:right w:val="single" w:sz="12" w:space="0" w:color="auto"/>
            </w:tcBorders>
            <w:vAlign w:val="center"/>
          </w:tcPr>
          <w:p w:rsidR="00CF5F41" w:rsidRPr="00017EC8" w:rsidRDefault="00CF5F41" w:rsidP="00CF5F41">
            <w:pPr>
              <w:spacing w:line="120" w:lineRule="exact"/>
              <w:jc w:val="center"/>
              <w:rPr>
                <w:rFonts w:ascii="Arial" w:hAnsi="Arial" w:cs="Arial"/>
                <w:sz w:val="12"/>
                <w:szCs w:val="12"/>
              </w:rPr>
            </w:pPr>
            <w:r w:rsidRPr="00017EC8">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F5F41" w:rsidRPr="00520B26" w:rsidRDefault="00CF5F41" w:rsidP="00CF5F41">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r w:rsidR="00CF5F41" w:rsidRPr="00520B26" w:rsidTr="00CF5F41">
        <w:trPr>
          <w:cantSplit/>
          <w:trHeight w:hRule="exact" w:val="397"/>
        </w:trPr>
        <w:tc>
          <w:tcPr>
            <w:tcW w:w="777" w:type="dxa"/>
            <w:vMerge/>
            <w:shd w:val="clear" w:color="auto" w:fill="auto"/>
            <w:vAlign w:val="center"/>
          </w:tcPr>
          <w:p w:rsidR="00CF5F41" w:rsidRPr="00520B26" w:rsidRDefault="00CF5F41" w:rsidP="00CF5F41">
            <w:pPr>
              <w:ind w:left="84"/>
              <w:rPr>
                <w:rFonts w:ascii="Arial" w:hAnsi="Arial" w:cs="Arial"/>
                <w:color w:val="000000"/>
                <w:sz w:val="12"/>
                <w:szCs w:val="12"/>
              </w:rPr>
            </w:pPr>
          </w:p>
        </w:tc>
        <w:tc>
          <w:tcPr>
            <w:tcW w:w="2152" w:type="dxa"/>
            <w:gridSpan w:val="2"/>
            <w:vAlign w:val="center"/>
          </w:tcPr>
          <w:p w:rsidR="00CF5F41" w:rsidRPr="00CF5F41" w:rsidRDefault="00CF5F41" w:rsidP="00CF5F41">
            <w:pPr>
              <w:ind w:left="84"/>
              <w:rPr>
                <w:rFonts w:ascii="Arial" w:hAnsi="Arial" w:cs="Arial"/>
                <w:color w:val="000000"/>
                <w:sz w:val="14"/>
                <w:szCs w:val="14"/>
              </w:rPr>
            </w:pPr>
            <w:r w:rsidRPr="00CF5F41">
              <w:rPr>
                <w:rFonts w:ascii="Arial" w:hAnsi="Arial" w:cs="Arial"/>
                <w:sz w:val="14"/>
                <w:szCs w:val="14"/>
              </w:rPr>
              <w:t>denominowanych /indeksowanych do franka szwajcarskiego</w:t>
            </w:r>
          </w:p>
        </w:tc>
        <w:tc>
          <w:tcPr>
            <w:tcW w:w="288" w:type="dxa"/>
            <w:tcBorders>
              <w:right w:val="single" w:sz="12" w:space="0" w:color="auto"/>
            </w:tcBorders>
            <w:vAlign w:val="center"/>
          </w:tcPr>
          <w:p w:rsidR="00CF5F41" w:rsidRPr="00520B26" w:rsidRDefault="00CF5F41" w:rsidP="00CF5F41">
            <w:pPr>
              <w:spacing w:line="120" w:lineRule="exact"/>
              <w:jc w:val="center"/>
              <w:rPr>
                <w:rFonts w:ascii="Arial" w:hAnsi="Arial" w:cs="Arial"/>
                <w:color w:val="000000"/>
                <w:sz w:val="12"/>
                <w:szCs w:val="12"/>
              </w:rPr>
            </w:pPr>
            <w:r w:rsidRPr="00017EC8">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F5F41" w:rsidRPr="00520B26" w:rsidRDefault="00CF5F41" w:rsidP="00CF5F41">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i) 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r w:rsidR="00CF5F41" w:rsidRPr="00520B26" w:rsidTr="00CF5F41">
        <w:trPr>
          <w:cantSplit/>
          <w:trHeight w:hRule="exact" w:val="227"/>
        </w:trPr>
        <w:tc>
          <w:tcPr>
            <w:tcW w:w="2929" w:type="dxa"/>
            <w:gridSpan w:val="3"/>
            <w:shd w:val="clear" w:color="auto" w:fill="auto"/>
            <w:vAlign w:val="center"/>
          </w:tcPr>
          <w:p w:rsidR="00CF5F41" w:rsidRPr="00017EC8" w:rsidRDefault="00CF5F41" w:rsidP="00CF5F41">
            <w:pPr>
              <w:spacing w:line="120" w:lineRule="exact"/>
              <w:ind w:left="84"/>
              <w:rPr>
                <w:rFonts w:ascii="Arial" w:hAnsi="Arial" w:cs="Arial"/>
                <w:sz w:val="14"/>
                <w:szCs w:val="14"/>
              </w:rPr>
            </w:pPr>
            <w:r w:rsidRPr="00017EC8">
              <w:rPr>
                <w:rFonts w:ascii="Arial" w:hAnsi="Arial" w:cs="Arial"/>
                <w:sz w:val="14"/>
                <w:szCs w:val="14"/>
              </w:rPr>
              <w:t>Roszczenia z umowy darowizny</w:t>
            </w:r>
          </w:p>
        </w:tc>
        <w:tc>
          <w:tcPr>
            <w:tcW w:w="288" w:type="dxa"/>
            <w:tcBorders>
              <w:right w:val="single" w:sz="12" w:space="0" w:color="auto"/>
            </w:tcBorders>
            <w:vAlign w:val="center"/>
          </w:tcPr>
          <w:p w:rsidR="00CF5F41" w:rsidRPr="00017EC8" w:rsidRDefault="00CF5F41" w:rsidP="00CF5F41">
            <w:pPr>
              <w:spacing w:line="120" w:lineRule="exact"/>
              <w:jc w:val="center"/>
              <w:rPr>
                <w:rFonts w:ascii="Arial" w:hAnsi="Arial" w:cs="Arial"/>
                <w:sz w:val="12"/>
                <w:szCs w:val="12"/>
              </w:rPr>
            </w:pPr>
            <w:r w:rsidRPr="00017EC8">
              <w:rPr>
                <w:rFonts w:ascii="Arial" w:hAnsi="Arial" w:cs="Arial"/>
                <w:sz w:val="12"/>
                <w:szCs w:val="12"/>
              </w:rPr>
              <w:t>053</w:t>
            </w:r>
          </w:p>
        </w:tc>
        <w:tc>
          <w:tcPr>
            <w:tcW w:w="451" w:type="dxa"/>
            <w:tcBorders>
              <w:top w:val="single" w:sz="2" w:space="0" w:color="auto"/>
              <w:left w:val="single" w:sz="18" w:space="0" w:color="auto"/>
              <w:bottom w:val="single" w:sz="2" w:space="0" w:color="auto"/>
              <w:right w:val="single" w:sz="2" w:space="0" w:color="auto"/>
            </w:tcBorders>
            <w:vAlign w:val="center"/>
          </w:tcPr>
          <w:p w:rsidR="00CF5F41" w:rsidRPr="00520B26" w:rsidRDefault="00CF5F41" w:rsidP="00CF5F41">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05138" w:rsidRPr="00520B26" w:rsidTr="00B83A45">
        <w:trPr>
          <w:cantSplit/>
          <w:trHeight w:hRule="exact" w:val="227"/>
        </w:trPr>
        <w:tc>
          <w:tcPr>
            <w:tcW w:w="2855" w:type="dxa"/>
            <w:gridSpan w:val="4"/>
            <w:shd w:val="clear" w:color="auto" w:fill="auto"/>
            <w:vAlign w:val="center"/>
          </w:tcPr>
          <w:p w:rsidR="00F05138" w:rsidRPr="00017EC8" w:rsidRDefault="00F05138" w:rsidP="00F05138">
            <w:pPr>
              <w:spacing w:line="120" w:lineRule="exact"/>
              <w:ind w:left="85"/>
              <w:rPr>
                <w:rFonts w:ascii="Arial" w:hAnsi="Arial" w:cs="Arial"/>
                <w:sz w:val="14"/>
                <w:szCs w:val="14"/>
              </w:rPr>
            </w:pPr>
            <w:r w:rsidRPr="00017EC8">
              <w:rPr>
                <w:rFonts w:ascii="Arial" w:hAnsi="Arial" w:cs="Arial"/>
                <w:sz w:val="14"/>
                <w:szCs w:val="14"/>
              </w:rPr>
              <w:t>Roszczenia o zachowek</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397"/>
        </w:trPr>
        <w:tc>
          <w:tcPr>
            <w:tcW w:w="2855" w:type="dxa"/>
            <w:gridSpan w:val="4"/>
            <w:shd w:val="clear" w:color="auto" w:fill="auto"/>
            <w:vAlign w:val="center"/>
          </w:tcPr>
          <w:p w:rsidR="00F05138" w:rsidRPr="00017EC8" w:rsidRDefault="00F05138" w:rsidP="00F05138">
            <w:pPr>
              <w:spacing w:line="120" w:lineRule="exact"/>
              <w:ind w:left="84"/>
              <w:rPr>
                <w:rFonts w:ascii="Arial" w:hAnsi="Arial" w:cs="Arial"/>
                <w:sz w:val="14"/>
                <w:szCs w:val="14"/>
              </w:rPr>
            </w:pPr>
            <w:r w:rsidRPr="00017EC8">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454"/>
        </w:trPr>
        <w:tc>
          <w:tcPr>
            <w:tcW w:w="2855" w:type="dxa"/>
            <w:gridSpan w:val="4"/>
            <w:shd w:val="clear" w:color="auto" w:fill="auto"/>
          </w:tcPr>
          <w:p w:rsidR="00F05138" w:rsidRPr="00017EC8" w:rsidRDefault="00F05138" w:rsidP="00F05138">
            <w:pPr>
              <w:ind w:left="84"/>
              <w:rPr>
                <w:rFonts w:ascii="Arial" w:hAnsi="Arial" w:cs="Arial"/>
                <w:sz w:val="12"/>
                <w:szCs w:val="12"/>
              </w:rPr>
            </w:pPr>
            <w:r w:rsidRPr="00017EC8">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737"/>
        </w:trPr>
        <w:tc>
          <w:tcPr>
            <w:tcW w:w="2855" w:type="dxa"/>
            <w:gridSpan w:val="4"/>
            <w:shd w:val="clear" w:color="auto" w:fill="auto"/>
            <w:vAlign w:val="center"/>
          </w:tcPr>
          <w:p w:rsidR="00F05138" w:rsidRPr="00017EC8" w:rsidRDefault="00F05138" w:rsidP="00F05138">
            <w:pPr>
              <w:ind w:left="63"/>
              <w:rPr>
                <w:rFonts w:ascii="Arial" w:hAnsi="Arial" w:cs="Arial"/>
                <w:sz w:val="12"/>
                <w:szCs w:val="12"/>
              </w:rPr>
            </w:pPr>
            <w:r w:rsidRPr="00017EC8">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shd w:val="clear" w:color="auto" w:fill="auto"/>
            <w:vAlign w:val="center"/>
          </w:tcPr>
          <w:p w:rsidR="00F05138" w:rsidRPr="00017EC8" w:rsidRDefault="00F05138" w:rsidP="00F05138">
            <w:pPr>
              <w:spacing w:line="120" w:lineRule="exact"/>
              <w:jc w:val="center"/>
              <w:rPr>
                <w:rFonts w:ascii="Arial" w:hAnsi="Arial" w:cs="Arial"/>
                <w:sz w:val="11"/>
                <w:szCs w:val="11"/>
              </w:rPr>
            </w:pPr>
            <w:r w:rsidRPr="00017EC8">
              <w:rPr>
                <w:rFonts w:ascii="Arial" w:hAnsi="Arial" w:cs="Arial"/>
                <w:sz w:val="11"/>
                <w:szCs w:val="11"/>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A5462" w:rsidRPr="00520B26" w:rsidTr="00B83A45">
        <w:trPr>
          <w:cantSplit/>
          <w:trHeight w:hRule="exact" w:val="170"/>
        </w:trPr>
        <w:tc>
          <w:tcPr>
            <w:tcW w:w="700" w:type="dxa"/>
            <w:gridSpan w:val="2"/>
            <w:vMerge w:val="restart"/>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r>
              <w:rPr>
                <w:rFonts w:ascii="Arial" w:hAnsi="Arial" w:cs="Arial"/>
                <w:color w:val="000000"/>
                <w:sz w:val="14"/>
                <w:szCs w:val="14"/>
              </w:rPr>
              <w:t>Roszczenia</w:t>
            </w:r>
          </w:p>
        </w:tc>
        <w:tc>
          <w:tcPr>
            <w:tcW w:w="560" w:type="dxa"/>
            <w:vMerge w:val="restart"/>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sprzedaży</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164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168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157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5</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dostawy</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dzieło</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57"/>
              <w:rPr>
                <w:rFonts w:ascii="Arial" w:hAnsi="Arial" w:cs="Arial"/>
                <w:sz w:val="12"/>
                <w:szCs w:val="12"/>
              </w:rPr>
            </w:pPr>
            <w:r w:rsidRPr="00017EC8">
              <w:rPr>
                <w:rFonts w:ascii="Arial" w:hAnsi="Arial" w:cs="Arial"/>
                <w:sz w:val="14"/>
                <w:szCs w:val="14"/>
              </w:rPr>
              <w:t>o roboty budowlane</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794"/>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2"/>
                <w:szCs w:val="12"/>
              </w:rPr>
              <w:t>deweloperskiej art. 9 ustawy z 16 września 2011 r. o ochronie praw nabywcy lokalu mieszkalnego lub domu jednorodzinnego</w:t>
            </w:r>
            <w:r w:rsidRPr="00017EC8">
              <w:rPr>
                <w:rFonts w:ascii="Arial" w:hAnsi="Arial" w:cs="Arial"/>
                <w:sz w:val="11"/>
                <w:szCs w:val="11"/>
              </w:rPr>
              <w:t>(Dz.U. z 2017r.poz.1468)</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127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133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pożyczki</w:t>
            </w:r>
          </w:p>
        </w:tc>
        <w:tc>
          <w:tcPr>
            <w:tcW w:w="394" w:type="dxa"/>
            <w:tcBorders>
              <w:bottom w:val="single" w:sz="4"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60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308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359</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321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4</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19</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9</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26</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76</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4" w:space="0" w:color="auto"/>
            </w:tcBorders>
            <w:vAlign w:val="center"/>
          </w:tcPr>
          <w:p w:rsidR="00FA5462" w:rsidRPr="00520B26" w:rsidRDefault="00FA5462" w:rsidP="00FA5462">
            <w:pPr>
              <w:spacing w:line="140" w:lineRule="exact"/>
              <w:ind w:left="85" w:right="85"/>
              <w:rPr>
                <w:rFonts w:ascii="Arial" w:hAnsi="Arial" w:cs="Arial"/>
                <w:bCs/>
                <w:color w:val="000000"/>
                <w:sz w:val="14"/>
                <w:szCs w:val="14"/>
              </w:rPr>
            </w:pPr>
          </w:p>
        </w:tc>
        <w:tc>
          <w:tcPr>
            <w:tcW w:w="560" w:type="dxa"/>
            <w:vMerge/>
            <w:tcBorders>
              <w:left w:val="single" w:sz="4" w:space="0" w:color="auto"/>
              <w:bottom w:val="single" w:sz="2" w:space="0" w:color="auto"/>
              <w:right w:val="single" w:sz="2" w:space="0" w:color="auto"/>
            </w:tcBorders>
            <w:vAlign w:val="center"/>
          </w:tcPr>
          <w:p w:rsidR="00FA5462" w:rsidRPr="00520B26" w:rsidRDefault="00FA5462" w:rsidP="00FA5462">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bottom w:val="single" w:sz="8" w:space="0" w:color="auto"/>
              <w:right w:val="single" w:sz="2" w:space="0" w:color="auto"/>
            </w:tcBorders>
            <w:vAlign w:val="center"/>
          </w:tcPr>
          <w:p w:rsidR="00FA5462" w:rsidRPr="00520B26" w:rsidRDefault="00FA5462" w:rsidP="00A1631A">
            <w:pPr>
              <w:ind w:left="85" w:right="85"/>
              <w:rPr>
                <w:rFonts w:ascii="Arial" w:hAnsi="Arial" w:cs="Arial"/>
                <w:color w:val="000000"/>
                <w:sz w:val="14"/>
                <w:szCs w:val="14"/>
              </w:rPr>
            </w:pPr>
          </w:p>
        </w:tc>
        <w:tc>
          <w:tcPr>
            <w:tcW w:w="2155" w:type="dxa"/>
            <w:gridSpan w:val="2"/>
            <w:tcBorders>
              <w:top w:val="single" w:sz="8" w:space="0" w:color="auto"/>
              <w:left w:val="single" w:sz="8" w:space="0" w:color="auto"/>
              <w:bottom w:val="single" w:sz="8" w:space="0" w:color="auto"/>
              <w:right w:val="single" w:sz="2" w:space="0" w:color="auto"/>
            </w:tcBorders>
            <w:vAlign w:val="center"/>
          </w:tcPr>
          <w:p w:rsidR="00FA5462" w:rsidRPr="00520B26" w:rsidRDefault="00FA5462" w:rsidP="00A1631A">
            <w:pPr>
              <w:ind w:left="85" w:right="85"/>
              <w:rPr>
                <w:rFonts w:ascii="Arial" w:hAnsi="Arial" w:cs="Arial"/>
                <w:color w:val="000000"/>
                <w:sz w:val="14"/>
                <w:szCs w:val="14"/>
              </w:rPr>
            </w:pPr>
            <w:r>
              <w:rPr>
                <w:rFonts w:ascii="Arial" w:hAnsi="Arial" w:cs="Arial"/>
                <w:color w:val="000000"/>
                <w:sz w:val="14"/>
                <w:szCs w:val="14"/>
              </w:rPr>
              <w:t>z weksla</w:t>
            </w:r>
          </w:p>
        </w:tc>
        <w:tc>
          <w:tcPr>
            <w:tcW w:w="394" w:type="dxa"/>
            <w:tcBorders>
              <w:top w:val="single" w:sz="8" w:space="0" w:color="auto"/>
              <w:left w:val="single" w:sz="2" w:space="0" w:color="auto"/>
              <w:bottom w:val="single" w:sz="8" w:space="0" w:color="auto"/>
              <w:right w:val="single" w:sz="18" w:space="0" w:color="auto"/>
            </w:tcBorders>
            <w:vAlign w:val="center"/>
          </w:tcPr>
          <w:p w:rsidR="00FA5462" w:rsidRPr="00520B26" w:rsidRDefault="00FA5462" w:rsidP="00A1631A">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FA5462" w:rsidRPr="00520B26" w:rsidRDefault="00FA5462"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91</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99</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97</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1</w:t>
            </w:r>
          </w:p>
        </w:tc>
      </w:tr>
      <w:tr w:rsidR="00FA5462"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305m</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50</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51</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50</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2B003A" w:rsidRPr="00520B26" w:rsidTr="00B83A45">
        <w:trPr>
          <w:cantSplit/>
          <w:trHeight w:hRule="exact" w:val="345"/>
        </w:trPr>
        <w:tc>
          <w:tcPr>
            <w:tcW w:w="2855" w:type="dxa"/>
            <w:gridSpan w:val="4"/>
            <w:tcBorders>
              <w:top w:val="single" w:sz="2" w:space="0" w:color="auto"/>
              <w:left w:val="single" w:sz="2" w:space="0" w:color="auto"/>
              <w:bottom w:val="single" w:sz="2" w:space="0" w:color="auto"/>
              <w:right w:val="single" w:sz="2" w:space="0" w:color="auto"/>
            </w:tcBorders>
            <w:vAlign w:val="center"/>
          </w:tcPr>
          <w:p w:rsidR="002B003A" w:rsidRPr="00017EC8" w:rsidRDefault="002B003A" w:rsidP="002B003A">
            <w:pPr>
              <w:spacing w:line="140" w:lineRule="exact"/>
              <w:ind w:left="85" w:right="85"/>
              <w:rPr>
                <w:rFonts w:ascii="Arial" w:hAnsi="Arial" w:cs="Arial"/>
                <w:bCs/>
                <w:sz w:val="14"/>
                <w:szCs w:val="14"/>
              </w:rPr>
            </w:pPr>
            <w:r w:rsidRPr="00017EC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2B003A" w:rsidRPr="00017EC8" w:rsidRDefault="002B003A" w:rsidP="002B003A">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2B003A" w:rsidRPr="00571318" w:rsidRDefault="002B003A" w:rsidP="002B003A">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75</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599</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646</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566</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w:t>
            </w: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48</w:t>
            </w: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12</w:t>
            </w: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22</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28</w:t>
            </w:r>
          </w:p>
        </w:tc>
      </w:tr>
      <w:tr w:rsidR="002B003A" w:rsidRPr="00520B26" w:rsidTr="002B003A">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2B003A" w:rsidRPr="00017EC8" w:rsidRDefault="002B003A" w:rsidP="002B003A">
            <w:pPr>
              <w:ind w:left="85" w:right="85"/>
              <w:rPr>
                <w:rFonts w:ascii="Arial" w:hAnsi="Arial" w:cs="Arial"/>
                <w:b/>
                <w:bCs/>
                <w:sz w:val="18"/>
              </w:rPr>
            </w:pPr>
            <w:r w:rsidRPr="00017EC8">
              <w:rPr>
                <w:rFonts w:ascii="Arial" w:hAnsi="Arial" w:cs="Arial"/>
                <w:b/>
                <w:bCs/>
                <w:sz w:val="18"/>
              </w:rPr>
              <w:t>Co  (ogólne)</w:t>
            </w:r>
          </w:p>
          <w:p w:rsidR="002B003A" w:rsidRPr="00017EC8" w:rsidRDefault="002B003A" w:rsidP="002B003A">
            <w:pPr>
              <w:ind w:left="85" w:right="85"/>
              <w:rPr>
                <w:rFonts w:ascii="Arial" w:hAnsi="Arial" w:cs="Arial"/>
                <w:sz w:val="14"/>
                <w:szCs w:val="14"/>
              </w:rPr>
            </w:pPr>
            <w:r w:rsidRPr="00017EC8">
              <w:rPr>
                <w:rFonts w:ascii="Arial" w:hAnsi="Arial" w:cs="Arial"/>
                <w:sz w:val="14"/>
                <w:szCs w:val="14"/>
              </w:rPr>
              <w:t xml:space="preserve">(suma wierszy </w:t>
            </w:r>
            <w:r w:rsidRPr="00260D93">
              <w:rPr>
                <w:rFonts w:ascii="Arial" w:hAnsi="Arial" w:cs="Arial"/>
                <w:sz w:val="14"/>
                <w:szCs w:val="14"/>
              </w:rPr>
              <w:t>od 207 do 235)</w:t>
            </w:r>
          </w:p>
        </w:tc>
        <w:tc>
          <w:tcPr>
            <w:tcW w:w="394" w:type="dxa"/>
            <w:tcBorders>
              <w:top w:val="single" w:sz="8" w:space="0" w:color="auto"/>
              <w:left w:val="single" w:sz="2" w:space="0" w:color="auto"/>
              <w:bottom w:val="single" w:sz="8"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171</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345</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310</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114</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67</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4</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21</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7</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96</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33</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206</w:t>
            </w:r>
          </w:p>
        </w:tc>
      </w:tr>
      <w:tr w:rsidR="002B003A" w:rsidRPr="00520B26" w:rsidTr="00B83A45">
        <w:trPr>
          <w:cantSplit/>
          <w:trHeight w:hRule="exact" w:val="316"/>
        </w:trPr>
        <w:tc>
          <w:tcPr>
            <w:tcW w:w="2855" w:type="dxa"/>
            <w:gridSpan w:val="4"/>
            <w:tcBorders>
              <w:top w:val="single" w:sz="8" w:space="0" w:color="auto"/>
              <w:left w:val="single" w:sz="2" w:space="0" w:color="auto"/>
              <w:bottom w:val="single" w:sz="2" w:space="0" w:color="auto"/>
              <w:right w:val="single" w:sz="2" w:space="0" w:color="auto"/>
            </w:tcBorders>
            <w:vAlign w:val="center"/>
          </w:tcPr>
          <w:p w:rsidR="002B003A" w:rsidRPr="00017EC8" w:rsidRDefault="002B003A" w:rsidP="002B003A">
            <w:pPr>
              <w:ind w:left="57"/>
              <w:rPr>
                <w:rFonts w:ascii="Arial" w:hAnsi="Arial" w:cs="Arial"/>
                <w:sz w:val="14"/>
                <w:szCs w:val="14"/>
              </w:rPr>
            </w:pPr>
            <w:r w:rsidRPr="00017EC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p>
        </w:tc>
      </w:tr>
      <w:tr w:rsidR="002B003A" w:rsidRPr="00520B26" w:rsidTr="002B003A">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2B003A" w:rsidRPr="00017EC8" w:rsidRDefault="002B003A" w:rsidP="002B003A">
            <w:pPr>
              <w:ind w:left="57"/>
              <w:rPr>
                <w:rFonts w:ascii="Arial" w:hAnsi="Arial" w:cs="Arial"/>
                <w:sz w:val="14"/>
                <w:szCs w:val="14"/>
              </w:rPr>
            </w:pPr>
            <w:r w:rsidRPr="00017EC8">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103</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p>
        </w:tc>
      </w:tr>
      <w:tr w:rsidR="00260D93" w:rsidRPr="00520B26" w:rsidTr="00260D93">
        <w:trPr>
          <w:cantSplit/>
          <w:trHeight w:hRule="exact" w:val="510"/>
        </w:trPr>
        <w:tc>
          <w:tcPr>
            <w:tcW w:w="636" w:type="dxa"/>
            <w:vMerge w:val="restart"/>
            <w:tcBorders>
              <w:top w:val="single" w:sz="4" w:space="0" w:color="auto"/>
              <w:left w:val="single" w:sz="2" w:space="0" w:color="auto"/>
              <w:right w:val="single" w:sz="2" w:space="0" w:color="auto"/>
            </w:tcBorders>
            <w:textDirection w:val="btLr"/>
            <w:vAlign w:val="center"/>
          </w:tcPr>
          <w:p w:rsidR="00260D93" w:rsidRPr="00520B26" w:rsidRDefault="00260D93" w:rsidP="00260D93">
            <w:pPr>
              <w:ind w:left="57" w:right="113"/>
              <w:jc w:val="center"/>
              <w:rPr>
                <w:rFonts w:ascii="Arial" w:hAnsi="Arial" w:cs="Arial"/>
                <w:color w:val="000000"/>
                <w:sz w:val="12"/>
                <w:szCs w:val="12"/>
              </w:rPr>
            </w:pPr>
            <w:r>
              <w:rPr>
                <w:rFonts w:ascii="Arial" w:hAnsi="Arial" w:cs="Arial"/>
                <w:color w:val="000000"/>
                <w:sz w:val="12"/>
                <w:szCs w:val="12"/>
              </w:rPr>
              <w:t>O nadanie klauzuli wykonalności</w:t>
            </w: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w:t>
            </w:r>
          </w:p>
        </w:tc>
        <w:tc>
          <w:tcPr>
            <w:tcW w:w="345" w:type="dxa"/>
            <w:tcBorders>
              <w:top w:val="single" w:sz="4"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20</w:t>
            </w: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21</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20</w:t>
            </w: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r>
      <w:tr w:rsidR="00260D93" w:rsidRPr="00520B26" w:rsidTr="00260D93">
        <w:trPr>
          <w:cantSplit/>
          <w:trHeight w:hRule="exact" w:val="510"/>
        </w:trPr>
        <w:tc>
          <w:tcPr>
            <w:tcW w:w="636" w:type="dxa"/>
            <w:vMerge/>
            <w:tcBorders>
              <w:left w:val="single" w:sz="2" w:space="0" w:color="auto"/>
              <w:bottom w:val="single" w:sz="2" w:space="0" w:color="auto"/>
              <w:right w:val="single" w:sz="2" w:space="0" w:color="auto"/>
            </w:tcBorders>
            <w:vAlign w:val="center"/>
          </w:tcPr>
          <w:p w:rsidR="00260D93" w:rsidRPr="00520B26" w:rsidRDefault="00260D93" w:rsidP="00260D93">
            <w:pPr>
              <w:ind w:left="57"/>
              <w:rPr>
                <w:rFonts w:ascii="Arial" w:hAnsi="Arial" w:cs="Arial"/>
                <w:color w:val="000000"/>
                <w:sz w:val="14"/>
                <w:szCs w:val="14"/>
              </w:rPr>
            </w:pP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przeciwko małżonkowi dłużnika (art. 787, 787</w:t>
            </w:r>
            <w:r w:rsidRPr="00017EC8">
              <w:rPr>
                <w:rFonts w:ascii="Arial" w:hAnsi="Arial" w:cs="Arial"/>
                <w:sz w:val="14"/>
                <w:szCs w:val="14"/>
                <w:vertAlign w:val="superscript"/>
              </w:rPr>
              <w:t xml:space="preserve">1 </w:t>
            </w:r>
            <w:r w:rsidRPr="00017EC8">
              <w:rPr>
                <w:rFonts w:ascii="Arial" w:hAnsi="Arial" w:cs="Arial"/>
                <w:sz w:val="14"/>
                <w:szCs w:val="14"/>
              </w:rPr>
              <w:t>kpc)</w:t>
            </w:r>
          </w:p>
        </w:tc>
        <w:tc>
          <w:tcPr>
            <w:tcW w:w="394"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104m</w:t>
            </w:r>
          </w:p>
        </w:tc>
        <w:tc>
          <w:tcPr>
            <w:tcW w:w="345" w:type="dxa"/>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229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60D93" w:rsidRPr="00520B26" w:rsidTr="00260D93">
        <w:trPr>
          <w:cantSplit/>
          <w:trHeight w:hRule="exact" w:val="340"/>
        </w:trPr>
        <w:tc>
          <w:tcPr>
            <w:tcW w:w="636" w:type="dxa"/>
            <w:vMerge w:val="restart"/>
            <w:tcBorders>
              <w:top w:val="single" w:sz="2" w:space="0" w:color="auto"/>
              <w:left w:val="single" w:sz="2" w:space="0" w:color="auto"/>
              <w:right w:val="single" w:sz="2" w:space="0" w:color="auto"/>
            </w:tcBorders>
            <w:vAlign w:val="center"/>
          </w:tcPr>
          <w:p w:rsidR="00260D93" w:rsidRPr="00B91659" w:rsidRDefault="00260D93" w:rsidP="00260D93">
            <w:pPr>
              <w:ind w:left="57"/>
              <w:rPr>
                <w:rFonts w:ascii="Arial" w:hAnsi="Arial" w:cs="Arial"/>
                <w:sz w:val="14"/>
                <w:szCs w:val="14"/>
              </w:rPr>
            </w:pPr>
          </w:p>
        </w:tc>
        <w:tc>
          <w:tcPr>
            <w:tcW w:w="2297" w:type="dxa"/>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20</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14</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1F299A">
        <w:trPr>
          <w:cantSplit/>
          <w:trHeight w:hRule="exact" w:val="170"/>
        </w:trPr>
        <w:tc>
          <w:tcPr>
            <w:tcW w:w="636" w:type="dxa"/>
            <w:vMerge/>
            <w:tcBorders>
              <w:left w:val="single" w:sz="2" w:space="0" w:color="auto"/>
              <w:bottom w:val="single" w:sz="2" w:space="0" w:color="auto"/>
              <w:right w:val="single" w:sz="2" w:space="0" w:color="auto"/>
            </w:tcBorders>
            <w:vAlign w:val="center"/>
          </w:tcPr>
          <w:p w:rsidR="00260D93" w:rsidRPr="00520B26" w:rsidRDefault="00260D93" w:rsidP="00260D93">
            <w:pPr>
              <w:pStyle w:val="Nagwek3"/>
              <w:spacing w:before="0"/>
              <w:ind w:left="57"/>
              <w:rPr>
                <w:rFonts w:ascii="Arial" w:hAnsi="Arial" w:cs="Arial"/>
                <w:b w:val="0"/>
                <w:color w:val="000000"/>
                <w:sz w:val="14"/>
                <w:szCs w:val="14"/>
              </w:rPr>
            </w:pPr>
          </w:p>
        </w:tc>
        <w:tc>
          <w:tcPr>
            <w:tcW w:w="2297" w:type="dxa"/>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r>
      <w:tr w:rsidR="00260D93" w:rsidRPr="00520B26" w:rsidTr="00260D93">
        <w:trPr>
          <w:cantSplit/>
          <w:trHeight w:hRule="exact" w:val="851"/>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2"/>
                <w:szCs w:val="12"/>
              </w:rPr>
            </w:pPr>
            <w:r w:rsidRPr="00017EC8">
              <w:rPr>
                <w:rFonts w:ascii="Arial" w:hAnsi="Arial" w:cs="Arial"/>
                <w:sz w:val="12"/>
                <w:szCs w:val="12"/>
              </w:rPr>
              <w:t xml:space="preserve">O nadanie klauzuli wykonalności tytułom egzekucyjnym określonym w rozporządzeniu Rady (WE) </w:t>
            </w:r>
            <w:r w:rsidRPr="00017EC8">
              <w:rPr>
                <w:rFonts w:ascii="Arial" w:hAnsi="Arial" w:cs="Arial"/>
                <w:sz w:val="12"/>
                <w:szCs w:val="12"/>
              </w:rPr>
              <w:br/>
              <w:t xml:space="preserve">nr 4/2009 z dn. 18 grudnia 2008 r. w sprawie jurysdykcji, prawa właściwego, uznawania i wykonywania orzeczeń oraz współpracy w zakresie zobowiązań alimentacyjnych </w:t>
            </w:r>
            <w:r w:rsidRPr="00017EC8">
              <w:rPr>
                <w:rFonts w:ascii="Arial" w:hAnsi="Arial" w:cs="Arial"/>
                <w:sz w:val="13"/>
                <w:szCs w:val="13"/>
              </w:rPr>
              <w:t>(art. 1151</w:t>
            </w:r>
            <w:r w:rsidRPr="00017EC8">
              <w:rPr>
                <w:rFonts w:ascii="Arial" w:hAnsi="Arial" w:cs="Arial"/>
                <w:sz w:val="13"/>
                <w:szCs w:val="13"/>
                <w:vertAlign w:val="superscript"/>
              </w:rPr>
              <w:t>1</w:t>
            </w:r>
            <w:r w:rsidRPr="00017EC8">
              <w:rPr>
                <w:rFonts w:ascii="Arial" w:hAnsi="Arial" w:cs="Arial"/>
                <w:sz w:val="13"/>
                <w:szCs w:val="13"/>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260D9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82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72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37</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15</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8</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27</w:t>
            </w:r>
          </w:p>
        </w:tc>
      </w:tr>
      <w:tr w:rsidR="00260D93" w:rsidRPr="00520B26" w:rsidTr="00E119D6">
        <w:trPr>
          <w:cantSplit/>
          <w:trHeight w:hRule="exact" w:val="794"/>
        </w:trPr>
        <w:tc>
          <w:tcPr>
            <w:tcW w:w="2933" w:type="dxa"/>
            <w:gridSpan w:val="2"/>
            <w:tcBorders>
              <w:top w:val="single" w:sz="2" w:space="0" w:color="auto"/>
              <w:left w:val="single" w:sz="2" w:space="0" w:color="auto"/>
              <w:bottom w:val="single" w:sz="4" w:space="0" w:color="auto"/>
              <w:right w:val="single" w:sz="2" w:space="0" w:color="auto"/>
            </w:tcBorders>
            <w:vAlign w:val="center"/>
          </w:tcPr>
          <w:p w:rsidR="00260D93" w:rsidRPr="00E119D6" w:rsidRDefault="00260D93" w:rsidP="00260D93">
            <w:pPr>
              <w:ind w:left="57"/>
              <w:rPr>
                <w:rFonts w:ascii="Arial" w:hAnsi="Arial" w:cs="Arial"/>
                <w:sz w:val="12"/>
                <w:szCs w:val="12"/>
              </w:rPr>
            </w:pPr>
            <w:r w:rsidRPr="00E119D6">
              <w:rPr>
                <w:rFonts w:ascii="Arial" w:hAnsi="Arial" w:cs="Arial"/>
                <w:sz w:val="12"/>
                <w:szCs w:val="12"/>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4"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r>
      <w:tr w:rsidR="00260D93" w:rsidRPr="00520B26" w:rsidTr="00E119D6">
        <w:trPr>
          <w:cantSplit/>
          <w:trHeight w:hRule="exact" w:val="340"/>
        </w:trPr>
        <w:tc>
          <w:tcPr>
            <w:tcW w:w="2933" w:type="dxa"/>
            <w:gridSpan w:val="2"/>
            <w:tcBorders>
              <w:top w:val="single" w:sz="4"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112</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106</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80</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72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138</w:t>
            </w: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 xml:space="preserve">W przedmiocie egzekucji przez zarząd </w:t>
            </w:r>
          </w:p>
          <w:p w:rsidR="00260D93" w:rsidRPr="00E119D6" w:rsidRDefault="00260D93" w:rsidP="00E119D6">
            <w:pPr>
              <w:ind w:left="57"/>
              <w:rPr>
                <w:rFonts w:ascii="Arial" w:hAnsi="Arial" w:cs="Arial"/>
                <w:sz w:val="14"/>
                <w:szCs w:val="14"/>
              </w:rPr>
            </w:pPr>
            <w:r w:rsidRPr="00E119D6">
              <w:rPr>
                <w:rFonts w:ascii="Arial" w:hAnsi="Arial" w:cs="Arial"/>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 xml:space="preserve">W przedmiocie egzekucji przez sprzedaż </w:t>
            </w:r>
          </w:p>
          <w:p w:rsidR="00260D93" w:rsidRPr="00E119D6" w:rsidRDefault="00260D93" w:rsidP="00E119D6">
            <w:pPr>
              <w:ind w:left="57"/>
              <w:rPr>
                <w:rFonts w:ascii="Arial" w:hAnsi="Arial" w:cs="Arial"/>
                <w:sz w:val="14"/>
                <w:szCs w:val="14"/>
              </w:rPr>
            </w:pPr>
            <w:r w:rsidRPr="00E119D6">
              <w:rPr>
                <w:rFonts w:ascii="Arial" w:hAnsi="Arial" w:cs="Arial"/>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1F299A">
            <w:pPr>
              <w:ind w:left="57"/>
              <w:rPr>
                <w:rFonts w:cs="Arial"/>
                <w:b/>
                <w:sz w:val="14"/>
                <w:szCs w:val="14"/>
              </w:rPr>
            </w:pPr>
            <w:r w:rsidRPr="001F299A">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odtworzenie akt</w:t>
            </w:r>
            <w:r w:rsidRPr="00017EC8">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84"/>
              <w:rPr>
                <w:rFonts w:ascii="Arial" w:hAnsi="Arial" w:cs="Arial"/>
                <w:sz w:val="14"/>
                <w:szCs w:val="14"/>
              </w:rPr>
            </w:pPr>
            <w:r w:rsidRPr="00017EC8">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13</w:t>
            </w: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E119D6" w:rsidRDefault="00E119D6" w:rsidP="00E119D6">
            <w:pPr>
              <w:ind w:left="84"/>
              <w:rPr>
                <w:rFonts w:ascii="Arial" w:hAnsi="Arial" w:cs="Arial"/>
                <w:sz w:val="14"/>
                <w:szCs w:val="14"/>
              </w:rPr>
            </w:pPr>
            <w:r w:rsidRPr="00E119D6">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B83A45">
        <w:trPr>
          <w:cantSplit/>
          <w:trHeight w:val="284"/>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E119D6" w:rsidRDefault="00E119D6" w:rsidP="00E119D6">
            <w:pPr>
              <w:ind w:left="84"/>
              <w:rPr>
                <w:rFonts w:ascii="Arial" w:hAnsi="Arial" w:cs="Arial"/>
                <w:sz w:val="14"/>
                <w:szCs w:val="14"/>
              </w:rPr>
            </w:pPr>
            <w:r w:rsidRPr="00E119D6">
              <w:rPr>
                <w:rFonts w:ascii="Arial" w:hAnsi="Arial" w:cs="Arial"/>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30</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10</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8</w:t>
            </w:r>
          </w:p>
        </w:tc>
      </w:tr>
      <w:tr w:rsidR="00E119D6" w:rsidRPr="00520B26" w:rsidTr="00B83A45">
        <w:trPr>
          <w:cantSplit/>
          <w:trHeight w:val="284"/>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r>
      <w:tr w:rsidR="00E119D6"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 xml:space="preserve">O ustanowienie kuratora dla dłużnika, którego miejsce pobytu nie jest znane </w:t>
            </w:r>
            <w:r w:rsidRPr="00017EC8">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7</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r>
      <w:tr w:rsidR="00B350C3" w:rsidRPr="00520B26" w:rsidTr="00B350C3">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130</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83A45">
        <w:trPr>
          <w:cantSplit/>
          <w:trHeight w:val="405"/>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1F299A">
              <w:rPr>
                <w:rFonts w:ascii="Arial" w:hAnsi="Arial" w:cs="Arial"/>
                <w:sz w:val="12"/>
                <w:szCs w:val="12"/>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9</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5</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8</w:t>
            </w:r>
          </w:p>
        </w:tc>
      </w:tr>
      <w:tr w:rsidR="007C122B" w:rsidRPr="00520B26" w:rsidTr="007C122B">
        <w:trPr>
          <w:cantSplit/>
          <w:trHeight w:hRule="exact" w:val="310"/>
        </w:trPr>
        <w:tc>
          <w:tcPr>
            <w:tcW w:w="2933" w:type="dxa"/>
            <w:gridSpan w:val="2"/>
            <w:tcBorders>
              <w:top w:val="single" w:sz="2" w:space="0" w:color="auto"/>
              <w:left w:val="single" w:sz="2" w:space="0" w:color="auto"/>
              <w:bottom w:val="single" w:sz="2" w:space="0" w:color="auto"/>
              <w:right w:val="single" w:sz="2" w:space="0" w:color="auto"/>
            </w:tcBorders>
            <w:vAlign w:val="center"/>
          </w:tcPr>
          <w:p w:rsidR="007C122B" w:rsidRPr="00017EC8" w:rsidRDefault="007C122B" w:rsidP="007C122B">
            <w:pPr>
              <w:ind w:left="57"/>
              <w:rPr>
                <w:rFonts w:ascii="Arial" w:hAnsi="Arial" w:cs="Arial"/>
                <w:sz w:val="14"/>
                <w:szCs w:val="14"/>
              </w:rPr>
            </w:pPr>
            <w:r w:rsidRPr="00017EC8">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C122B" w:rsidRPr="00017EC8" w:rsidRDefault="007C122B" w:rsidP="007C122B">
            <w:pPr>
              <w:spacing w:line="120" w:lineRule="exact"/>
              <w:jc w:val="center"/>
              <w:rPr>
                <w:rFonts w:ascii="Arial" w:hAnsi="Arial" w:cs="Arial"/>
                <w:sz w:val="12"/>
                <w:szCs w:val="12"/>
              </w:rPr>
            </w:pPr>
            <w:r w:rsidRPr="00017EC8">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r>
      <w:tr w:rsidR="007C122B" w:rsidRPr="00520B26" w:rsidTr="00B350C3">
        <w:trPr>
          <w:cantSplit/>
          <w:trHeight w:hRule="exact" w:val="284"/>
        </w:trPr>
        <w:tc>
          <w:tcPr>
            <w:tcW w:w="2933" w:type="dxa"/>
            <w:gridSpan w:val="2"/>
            <w:tcBorders>
              <w:top w:val="single" w:sz="2" w:space="0" w:color="auto"/>
              <w:left w:val="single" w:sz="2" w:space="0" w:color="auto"/>
              <w:bottom w:val="single" w:sz="8" w:space="0" w:color="auto"/>
              <w:right w:val="single" w:sz="2" w:space="0" w:color="auto"/>
            </w:tcBorders>
            <w:vAlign w:val="center"/>
          </w:tcPr>
          <w:p w:rsidR="007C122B" w:rsidRPr="00017EC8" w:rsidRDefault="007C122B" w:rsidP="007C122B">
            <w:pPr>
              <w:spacing w:after="40" w:line="140" w:lineRule="exact"/>
              <w:ind w:left="57" w:right="85"/>
              <w:rPr>
                <w:rFonts w:ascii="Arial" w:hAnsi="Arial" w:cs="Arial"/>
                <w:sz w:val="14"/>
                <w:szCs w:val="14"/>
              </w:rPr>
            </w:pPr>
            <w:r w:rsidRPr="00017EC8">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20</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19</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14</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4</w:t>
            </w: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2</w:t>
            </w:r>
          </w:p>
        </w:tc>
      </w:tr>
      <w:tr w:rsidR="007C122B" w:rsidRPr="00520B26" w:rsidTr="005E69E9">
        <w:trPr>
          <w:cantSplit/>
          <w:trHeight w:hRule="exact" w:val="227"/>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017EC8" w:rsidRDefault="007C122B" w:rsidP="007C122B">
            <w:pPr>
              <w:ind w:left="57" w:right="85"/>
              <w:rPr>
                <w:rFonts w:ascii="Arial" w:hAnsi="Arial" w:cs="Arial"/>
                <w:b/>
                <w:bCs/>
                <w:sz w:val="18"/>
              </w:rPr>
            </w:pPr>
            <w:r w:rsidRPr="00017EC8">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31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28</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23</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5</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4</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13</w:t>
            </w:r>
          </w:p>
        </w:tc>
      </w:tr>
      <w:tr w:rsidR="007C122B" w:rsidRPr="00520B26" w:rsidTr="005E69E9">
        <w:trPr>
          <w:cantSplit/>
          <w:trHeight w:hRule="exact" w:val="397"/>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017EC8" w:rsidRDefault="007C122B" w:rsidP="007C122B">
            <w:pPr>
              <w:ind w:left="85" w:right="85"/>
              <w:rPr>
                <w:rFonts w:ascii="Arial" w:hAnsi="Arial" w:cs="Arial"/>
                <w:b/>
                <w:bCs/>
                <w:sz w:val="16"/>
                <w:szCs w:val="16"/>
              </w:rPr>
            </w:pPr>
            <w:r w:rsidRPr="00017EC8">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r w:rsidR="007C122B" w:rsidRPr="00520B26" w:rsidTr="00B350C3">
        <w:trPr>
          <w:cantSplit/>
          <w:trHeight w:hRule="exact" w:val="340"/>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520B26" w:rsidRDefault="007C122B" w:rsidP="007C122B">
            <w:pPr>
              <w:ind w:left="85" w:right="85"/>
              <w:rPr>
                <w:rFonts w:ascii="Arial" w:hAnsi="Arial" w:cs="Arial"/>
                <w:b/>
                <w:bCs/>
                <w:color w:val="000000"/>
                <w:sz w:val="16"/>
                <w:szCs w:val="16"/>
              </w:rPr>
            </w:pPr>
            <w:r w:rsidRPr="003643D2">
              <w:rPr>
                <w:rFonts w:ascii="Arial" w:hAnsi="Arial" w:cs="Arial"/>
                <w:b/>
                <w:bCs/>
                <w:color w:val="000000"/>
                <w:sz w:val="16"/>
                <w:szCs w:val="16"/>
              </w:rPr>
              <w:t>WSNc (skarga nadzwyczajna)</w:t>
            </w:r>
          </w:p>
        </w:tc>
        <w:tc>
          <w:tcPr>
            <w:tcW w:w="296" w:type="dxa"/>
            <w:tcBorders>
              <w:top w:val="single" w:sz="8" w:space="0" w:color="auto"/>
              <w:left w:val="single" w:sz="2" w:space="0" w:color="auto"/>
              <w:bottom w:val="single" w:sz="8" w:space="0" w:color="auto"/>
              <w:right w:val="single" w:sz="18" w:space="0" w:color="auto"/>
            </w:tcBorders>
            <w:vAlign w:val="center"/>
          </w:tcPr>
          <w:p w:rsidR="007C122B" w:rsidRPr="00520B26" w:rsidRDefault="007C122B" w:rsidP="007C122B">
            <w:pPr>
              <w:spacing w:after="40" w:line="140" w:lineRule="exact"/>
              <w:ind w:left="85" w:right="85"/>
              <w:jc w:val="center"/>
              <w:rPr>
                <w:rFonts w:ascii="Arial" w:hAnsi="Arial" w:cs="Arial"/>
                <w:color w:val="000000"/>
                <w:sz w:val="12"/>
                <w:szCs w:val="12"/>
              </w:rPr>
            </w:pPr>
            <w:r w:rsidRPr="003643D2">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7C122B" w:rsidRDefault="007C122B" w:rsidP="007C122B">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30</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5</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604</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439</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355</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972DB2">
        <w:rPr>
          <w:rFonts w:ascii="Arial" w:hAnsi="Arial" w:cs="Arial"/>
          <w:b/>
          <w:sz w:val="16"/>
          <w:szCs w:val="16"/>
        </w:rPr>
        <w:t>5</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112</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10</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1.372</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w:t>
      </w:r>
      <w:r w:rsidR="00972DB2">
        <w:rPr>
          <w:rFonts w:ascii="Arial" w:hAnsi="Arial" w:cs="Arial"/>
          <w:b/>
          <w:sz w:val="16"/>
          <w:szCs w:val="16"/>
        </w:rPr>
        <w:t>7</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6</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6</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0C32D0" w:rsidP="00D3318D">
      <w:pPr>
        <w:rPr>
          <w:rFonts w:ascii="Arial" w:hAnsi="Arial" w:cs="Arial"/>
          <w:sz w:val="16"/>
          <w:szCs w:val="16"/>
        </w:rPr>
      </w:pPr>
      <w:r w:rsidRPr="000C32D0">
        <w:rPr>
          <w:rFonts w:ascii="Arial" w:hAnsi="Arial" w:cs="Arial"/>
          <w:noProof/>
          <w:sz w:val="18"/>
          <w:szCs w:val="18"/>
        </w:rPr>
        <w:pict>
          <v:rect id="_x0000_s1091" style="position:absolute;margin-left:700.2pt;margin-top:1.7pt;width:76.55pt;height:11.95pt;z-index:3" strokeweight="2pt">
            <v:textbox style="mso-next-textbox:#_x0000_s1091" inset=",.3mm,,.3mm">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v:textbox>
          </v:rect>
        </w:pict>
      </w:r>
      <w:r w:rsidRPr="000C32D0">
        <w:rPr>
          <w:rFonts w:ascii="Arial" w:hAnsi="Arial" w:cs="Arial"/>
          <w:noProof/>
          <w:sz w:val="18"/>
          <w:szCs w:val="18"/>
        </w:rPr>
        <w:pict>
          <v:rect id="_x0000_s1089" style="position:absolute;margin-left:249.2pt;margin-top:1.7pt;width:76.55pt;height:11.95pt;z-index:2" strokeweight="2pt">
            <v:textbox inset=",.3mm,,.3mm">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v:textbox>
          </v:rect>
        </w:pic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55</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69</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26</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20</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40</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81</w:t>
      </w:r>
      <w:r w:rsidR="00D24DB2" w:rsidRPr="004C314D">
        <w:rPr>
          <w:rFonts w:ascii="Arial" w:hAnsi="Arial" w:cs="Arial"/>
          <w:b/>
          <w:sz w:val="18"/>
          <w:szCs w:val="18"/>
        </w:rPr>
        <w:t xml:space="preserve"> i 1</w:t>
      </w:r>
      <w:r w:rsidR="002D6442">
        <w:rPr>
          <w:rFonts w:ascii="Arial" w:hAnsi="Arial" w:cs="Arial"/>
          <w:b/>
          <w:sz w:val="18"/>
          <w:szCs w:val="18"/>
        </w:rPr>
        <w:t>82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23</w:t>
      </w:r>
      <w:r w:rsidR="00207A1B">
        <w:rPr>
          <w:rFonts w:ascii="Arial" w:hAnsi="Arial"/>
          <w:b/>
          <w:sz w:val="16"/>
          <w:szCs w:val="16"/>
        </w:rPr>
        <w:t>8</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151 do 155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2</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2</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pStyle w:val="Nagwek3"/>
              <w:rPr>
                <w:rFonts w:cs="Arial"/>
                <w:b w:val="0"/>
                <w:color w:val="000000"/>
                <w:szCs w:val="24"/>
              </w:rPr>
            </w:pPr>
            <w:r w:rsidRPr="004C314D">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4C314D" w:rsidRDefault="0097141D" w:rsidP="00EA6905">
            <w:pPr>
              <w:pStyle w:val="Nagwek1"/>
              <w:spacing w:before="0"/>
              <w:jc w:val="center"/>
              <w:rPr>
                <w:rFonts w:cs="Arial"/>
                <w:color w:val="000000"/>
                <w:sz w:val="16"/>
                <w:szCs w:val="16"/>
              </w:rPr>
            </w:pPr>
            <w:r w:rsidRPr="004C314D">
              <w:rPr>
                <w:rFonts w:cs="Arial"/>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1.364</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639</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369</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171</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175</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3.779</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883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562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345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31</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35</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1.523</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984</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711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235</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55</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12</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209</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209</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w:t>
            </w: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w:t>
            </w: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173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173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306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96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210</w:t>
            </w:r>
          </w:p>
        </w:tc>
      </w:tr>
      <w:tr w:rsidR="0097141D" w:rsidRPr="00520B26" w:rsidTr="00CF3244">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167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167</w:t>
            </w:r>
          </w:p>
          <w:p w:rsidR="0097141D" w:rsidRDefault="0097141D" w:rsidP="0097141D">
            <w:pPr>
              <w:jc w:val="right"/>
              <w:rPr>
                <w:rFonts w:ascii="Arial" w:hAnsi="Arial" w:cs="Arial"/>
                <w:color w:val="00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r>
      <w:tr w:rsidR="00387755" w:rsidRPr="00520B26" w:rsidTr="00CF3244">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165</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165</w:t>
            </w: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32</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2.795</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172</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538</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331</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31</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35</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1.288</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520B26" w:rsidRDefault="00DB4692"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3.722</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830</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471</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310</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1.653</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2.525</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277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80</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128</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1.627</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15</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50</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45</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140</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100</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w:t>
            </w: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59</w:t>
            </w: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39</w:t>
            </w: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1.494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1.484</w:t>
            </w: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487</w:t>
            </w:r>
          </w:p>
        </w:tc>
        <w:tc>
          <w:tcPr>
            <w:tcW w:w="1276"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60</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9</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1.197</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553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391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182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23</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1.421</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692</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460</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206</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45</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312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4.344</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174</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1.577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893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684</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82</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201</w:t>
            </w: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401</w:t>
            </w: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1.317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780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341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87</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216</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916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745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416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329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110</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175</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1.654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30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2.767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1.582</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1.185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348</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760</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537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276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261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1.654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994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660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431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347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30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195</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130</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3.322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613</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370</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93</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121</w:t>
            </w: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830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293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471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311</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193</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118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50</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56</w:t>
            </w: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1.653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2.709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1.564</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1.145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72</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333</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740</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537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277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260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160</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92</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68</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48</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1.653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994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659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208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430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306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172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134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91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30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630AFD" w:rsidRPr="00495142" w:rsidRDefault="008E0018"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193</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142</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14</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36</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101</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101</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151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113</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20</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25</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76</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76</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18</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11</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15</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15</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10</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r w:rsidRPr="00887262">
              <w:rPr>
                <w:rFonts w:ascii="Arial" w:hAnsi="Arial" w:cs="Arial"/>
                <w:sz w:val="14"/>
                <w:szCs w:val="16"/>
              </w:rPr>
              <w:t>4</w:t>
            </w: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r w:rsidRPr="00887262">
              <w:rPr>
                <w:rFonts w:ascii="Arial" w:hAnsi="Arial" w:cs="Arial"/>
                <w:sz w:val="14"/>
                <w:szCs w:val="16"/>
              </w:rPr>
              <w:t>4</w:t>
            </w: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5</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4</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1</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495142" w:rsidRDefault="0067100F" w:rsidP="0067100F">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887262" w:rsidRDefault="0067100F" w:rsidP="0067100F">
            <w:pPr>
              <w:jc w:val="right"/>
              <w:rPr>
                <w:rFonts w:ascii="Arial" w:hAnsi="Arial" w:cs="Arial"/>
                <w:sz w:val="14"/>
                <w:szCs w:val="16"/>
              </w:rPr>
            </w:pPr>
            <w:r w:rsidRPr="00887262">
              <w:rPr>
                <w:rFonts w:ascii="Arial" w:hAnsi="Arial" w:cs="Arial"/>
                <w:sz w:val="14"/>
                <w:szCs w:val="16"/>
              </w:rPr>
              <w:t>4</w:t>
            </w: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87262" w:rsidRDefault="0067100F" w:rsidP="0067100F">
            <w:pPr>
              <w:jc w:val="right"/>
              <w:rPr>
                <w:rFonts w:ascii="Arial" w:hAnsi="Arial" w:cs="Arial"/>
                <w:sz w:val="14"/>
                <w:szCs w:val="16"/>
              </w:rPr>
            </w:pPr>
            <w:r w:rsidRPr="00887262">
              <w:rPr>
                <w:rFonts w:ascii="Arial" w:hAnsi="Arial" w:cs="Arial"/>
                <w:sz w:val="14"/>
                <w:szCs w:val="16"/>
              </w:rPr>
              <w:t>4</w:t>
            </w: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w:t>
            </w: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1.421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307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1.114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189</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295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630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396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692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605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362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256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67</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190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37</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52</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154</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75</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1.421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307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1.114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189</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296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629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395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692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605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361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255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460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336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67</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190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17</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52</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154</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46</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75</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17</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3</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74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74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72</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33</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63</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63</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58</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28</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20</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7</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12</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12</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72</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33</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63</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63</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58</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28</w:t>
            </w: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20</w:t>
            </w: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7</w:t>
            </w: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12</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12</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8</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703</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32</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56</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210</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333</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40</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356</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110</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80</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37</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1.088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636</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234</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166</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48</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55</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21</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30</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314</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21</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97</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146</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24</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299</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72</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23</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962</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617</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187</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123</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32</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45</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18</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10</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22</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19</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w:t>
            </w: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703</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56</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210</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333</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40</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356</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110</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80</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37</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1.088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636</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234</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166</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48</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55</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21</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30</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314</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21</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97</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146</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24</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299</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72</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23</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962</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617</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187</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123</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32</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45</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18</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10</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805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93</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142</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180</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467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60</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95</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1.652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1.215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43</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r>
    </w:tbl>
    <w:p w:rsidR="00E24C86" w:rsidRPr="00495142" w:rsidRDefault="00E24C86" w:rsidP="00A65ADD">
      <w:pPr>
        <w:spacing w:after="40"/>
        <w:ind w:left="910" w:hanging="910"/>
        <w:rPr>
          <w:rFonts w:ascii="Arial" w:hAnsi="Arial" w:cs="Arial"/>
          <w:b/>
        </w:rPr>
      </w:pPr>
      <w:bookmarkStart w:id="6"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121</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66</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42</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64</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31</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13</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11</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7</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r w:rsidR="00066EE3" w:rsidRPr="00066EE3">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6"/>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17</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7</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16</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5.385,77</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438.269,66</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5</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3.698,84</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66.563,00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12</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3</w:t>
            </w: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12</w:t>
            </w: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1.686,93</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371.706,66</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124</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124</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79</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79</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43</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43</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171</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95</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76</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50</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113</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68</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32</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53</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57</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189</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99</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119</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71</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27</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64</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47</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33</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66</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46</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2</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2</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0C32D0" w:rsidP="003F7BCC">
      <w:pPr>
        <w:pStyle w:val="style20"/>
        <w:rPr>
          <w:rStyle w:val="fontstyle34"/>
          <w:rFonts w:ascii="Arial" w:hAnsi="Arial" w:cs="Arial"/>
          <w:i w:val="0"/>
          <w:sz w:val="18"/>
          <w:szCs w:val="18"/>
        </w:rPr>
      </w:pPr>
      <w:r w:rsidRPr="000C32D0">
        <w:rPr>
          <w:rFonts w:ascii="Arial" w:hAnsi="Arial" w:cs="Arial"/>
          <w:noProof/>
          <w:szCs w:val="24"/>
        </w:rPr>
        <w:pict>
          <v:shape id="_x0000_s1085" type="#_x0000_t202" style="position:absolute;left:0;text-align:left;margin-left:438.6pt;margin-top:8.35pt;width:369pt;height:144.25pt;z-index:1" filled="f" stroked="f">
            <v:textbox style="mso-next-textbox:#_x0000_s1085">
              <w:txbxContent>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9711E5" w:rsidRPr="004102F7" w:rsidRDefault="009711E5" w:rsidP="00774562">
                  <w:pPr>
                    <w:spacing w:line="80" w:lineRule="exact"/>
                    <w:rPr>
                      <w:rFonts w:ascii="Arial" w:hAnsi="Arial" w:cs="Arial"/>
                      <w:color w:val="000000"/>
                      <w:sz w:val="10"/>
                      <w:szCs w:val="10"/>
                    </w:rPr>
                  </w:pPr>
                </w:p>
                <w:p w:rsidR="009711E5" w:rsidRPr="004102F7" w:rsidRDefault="009711E5"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9711E5" w:rsidRPr="004102F7" w:rsidRDefault="009711E5" w:rsidP="00774562">
                  <w:pPr>
                    <w:rPr>
                      <w:rFonts w:ascii="Arial" w:hAnsi="Arial" w:cs="Arial"/>
                      <w:sz w:val="10"/>
                      <w:szCs w:val="10"/>
                    </w:rPr>
                  </w:pPr>
                </w:p>
                <w:p w:rsidR="009711E5" w:rsidRPr="000B589E" w:rsidRDefault="009711E5" w:rsidP="00774562">
                  <w:pPr>
                    <w:rPr>
                      <w:rFonts w:ascii="Arial" w:hAnsi="Arial" w:cs="Arial"/>
                      <w:sz w:val="10"/>
                      <w:szCs w:val="10"/>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osoby sporządzającej) </w:t>
                  </w: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2"/>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przewodniczącego wydziału)</w:t>
                  </w:r>
                </w:p>
                <w:p w:rsidR="009711E5" w:rsidRPr="000B589E" w:rsidRDefault="009711E5" w:rsidP="00774562">
                  <w:pPr>
                    <w:rPr>
                      <w:rFonts w:ascii="Arial" w:hAnsi="Arial" w:cs="Arial"/>
                      <w:sz w:val="18"/>
                      <w:szCs w:val="18"/>
                    </w:rPr>
                  </w:pPr>
                </w:p>
                <w:p w:rsidR="009711E5" w:rsidRPr="004102F7" w:rsidRDefault="009711E5" w:rsidP="00774562">
                  <w:pPr>
                    <w:rPr>
                      <w:rFonts w:ascii="Arial" w:hAnsi="Arial" w:cs="Arial"/>
                      <w:sz w:val="12"/>
                    </w:rPr>
                  </w:pPr>
                  <w:r w:rsidRPr="004102F7">
                    <w:rPr>
                      <w:rFonts w:ascii="Arial" w:hAnsi="Arial" w:cs="Arial"/>
                      <w:sz w:val="12"/>
                    </w:rPr>
                    <w:t xml:space="preserve"> .......................................................................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prezesa sądu)</w:t>
                  </w:r>
                </w:p>
                <w:p w:rsidR="009711E5" w:rsidRDefault="009711E5" w:rsidP="001858EC">
                  <w:pPr>
                    <w:rPr>
                      <w:rFonts w:ascii="ArialMT" w:hAnsi="ArialMT" w:cs="ArialMT"/>
                      <w:color w:val="FF0000"/>
                      <w:sz w:val="12"/>
                      <w:szCs w:val="12"/>
                      <w:highlight w:val="yellow"/>
                    </w:rPr>
                  </w:pPr>
                </w:p>
                <w:p w:rsidR="009711E5" w:rsidRDefault="009711E5" w:rsidP="001858EC">
                  <w:pPr>
                    <w:rPr>
                      <w:rFonts w:ascii="ArialMT" w:hAnsi="ArialMT" w:cs="ArialMT"/>
                      <w:sz w:val="12"/>
                      <w:szCs w:val="12"/>
                    </w:rPr>
                  </w:pPr>
                </w:p>
                <w:p w:rsidR="009711E5" w:rsidRPr="001858EC" w:rsidRDefault="009711E5"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C219F" w:rsidRPr="000C219F" w:rsidRDefault="002304D2" w:rsidP="000C219F">
      <w:pPr>
        <w:spacing w:after="80" w:line="220" w:lineRule="exact"/>
        <w:jc w:val="center"/>
        <w:rPr>
          <w:rFonts w:ascii="Arial" w:hAnsi="Arial" w:cs="Arial"/>
          <w:szCs w:val="24"/>
        </w:rPr>
      </w:pPr>
      <w:r>
        <w:rPr>
          <w:rFonts w:ascii="Arial" w:hAnsi="Arial" w:cs="Arial"/>
          <w:szCs w:val="24"/>
        </w:rPr>
        <w:br w:type="page"/>
      </w:r>
      <w:r w:rsidR="000C32D0" w:rsidRPr="000C32D0">
        <w:rPr>
          <w:noProof/>
          <w:szCs w:val="24"/>
        </w:rPr>
        <w:pict>
          <v:shape id="Pole tekstowe 1" o:spid="_x0000_s1126" type="#_x0000_t202" style="position:absolute;left:0;text-align:left;margin-left:-667.3pt;margin-top:14pt;width:369pt;height:15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Pole tekstowe 1">
              <w:txbxContent>
                <w:p w:rsidR="009711E5" w:rsidRDefault="009711E5" w:rsidP="000C219F">
                  <w:pPr>
                    <w:spacing w:line="220" w:lineRule="exact"/>
                    <w:rPr>
                      <w:rFonts w:ascii="Arial" w:hAnsi="Arial"/>
                      <w:color w:val="000000"/>
                      <w:sz w:val="18"/>
                    </w:rPr>
                  </w:pPr>
                  <w:r>
                    <w:rPr>
                      <w:rFonts w:ascii="Arial" w:hAnsi="Arial"/>
                      <w:color w:val="000000"/>
                      <w:sz w:val="18"/>
                    </w:rPr>
                    <w:t>Wyjaśnienia dotyczące sprawozdania można</w:t>
                  </w:r>
                </w:p>
                <w:p w:rsidR="009711E5" w:rsidRDefault="009711E5" w:rsidP="000C219F">
                  <w:pPr>
                    <w:spacing w:line="220" w:lineRule="exact"/>
                    <w:rPr>
                      <w:rFonts w:ascii="Arial" w:hAnsi="Arial"/>
                      <w:color w:val="000000"/>
                      <w:sz w:val="18"/>
                    </w:rPr>
                  </w:pPr>
                  <w:r>
                    <w:rPr>
                      <w:rFonts w:ascii="Arial" w:hAnsi="Arial"/>
                      <w:color w:val="000000"/>
                      <w:sz w:val="18"/>
                    </w:rPr>
                    <w:t>uzyskać pod numerem telefonu</w:t>
                  </w:r>
                </w:p>
                <w:p w:rsidR="009711E5" w:rsidRDefault="009711E5" w:rsidP="000C219F">
                  <w:pPr>
                    <w:spacing w:line="220" w:lineRule="exact"/>
                    <w:rPr>
                      <w:rFonts w:ascii="Arial" w:hAnsi="Arial"/>
                      <w:color w:val="000000"/>
                      <w:sz w:val="18"/>
                    </w:rPr>
                  </w:pPr>
                </w:p>
                <w:p w:rsidR="009711E5" w:rsidRDefault="009711E5" w:rsidP="000C219F">
                  <w:pPr>
                    <w:spacing w:line="220" w:lineRule="exact"/>
                    <w:rPr>
                      <w:rFonts w:ascii="Arial" w:hAnsi="Arial"/>
                      <w:color w:val="000000"/>
                      <w:sz w:val="18"/>
                    </w:rPr>
                  </w:pPr>
                  <w:r>
                    <w:t>...........................................</w:t>
                  </w:r>
                  <w:r>
                    <w:rPr>
                      <w:rFonts w:ascii="Arial PL" w:hAnsi="Arial PL"/>
                      <w:sz w:val="12"/>
                    </w:rPr>
                    <w:t xml:space="preserve">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osoby sporządzającej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przewodniczącego wydziału</w:t>
                  </w:r>
                </w:p>
                <w:p w:rsidR="009711E5" w:rsidRDefault="009711E5" w:rsidP="000C219F"/>
                <w:p w:rsidR="009711E5" w:rsidRDefault="009711E5" w:rsidP="000C219F">
                  <w:pPr>
                    <w:rPr>
                      <w:rFonts w:ascii="Arial PL" w:hAnsi="Arial PL"/>
                      <w:sz w:val="12"/>
                    </w:rPr>
                  </w:pPr>
                  <w:r>
                    <w:rPr>
                      <w:rFonts w:ascii="Arial PL" w:hAnsi="Arial PL"/>
                      <w:sz w:val="12"/>
                    </w:rPr>
                    <w:t xml:space="preserve"> .......................................................................                       .................................................................................................................</w:t>
                  </w:r>
                </w:p>
                <w:p w:rsidR="009711E5" w:rsidRDefault="009711E5" w:rsidP="000C219F">
                  <w:pPr>
                    <w:rPr>
                      <w:rFonts w:ascii="Arial PL" w:hAnsi="Arial PL"/>
                      <w:sz w:val="10"/>
                    </w:rPr>
                  </w:pPr>
                  <w:r>
                    <w:rPr>
                      <w:rFonts w:ascii="Arial PL" w:hAnsi="Arial PL"/>
                      <w:sz w:val="10"/>
                    </w:rPr>
                    <w:t xml:space="preserve">                             (miejscowość i data)                                                                                 pieczątka i podpis prezesa sądu</w:t>
                  </w:r>
                </w:p>
                <w:p w:rsidR="009711E5" w:rsidRDefault="009711E5" w:rsidP="000C219F"/>
              </w:txbxContent>
            </v:textbox>
          </v:shape>
        </w:pict>
      </w:r>
      <w:r w:rsidR="000C219F" w:rsidRPr="000C219F">
        <w:rPr>
          <w:rFonts w:ascii="Arial" w:hAnsi="Arial" w:cs="Arial"/>
          <w:szCs w:val="24"/>
        </w:rPr>
        <w:t>Objaśnienia do formularza MS-S1</w:t>
      </w:r>
    </w:p>
    <w:p w:rsidR="000C219F" w:rsidRPr="000C219F" w:rsidRDefault="000C219F" w:rsidP="000C219F">
      <w:pPr>
        <w:rPr>
          <w:b/>
          <w:szCs w:val="24"/>
        </w:rPr>
      </w:pPr>
      <w:r w:rsidRPr="000C219F">
        <w:rPr>
          <w:rFonts w:ascii="Arial" w:hAnsi="Arial" w:cs="Arial"/>
          <w:b/>
          <w:sz w:val="18"/>
          <w:szCs w:val="18"/>
        </w:rPr>
        <w:t xml:space="preserve">Użyte w formularzu określnie sprawy C oznacza także sprawy Cupr.  </w:t>
      </w:r>
    </w:p>
    <w:p w:rsidR="000C219F" w:rsidRPr="000C219F" w:rsidRDefault="000C219F" w:rsidP="000C219F">
      <w:pPr>
        <w:rPr>
          <w:rFonts w:ascii="Arial" w:hAnsi="Arial" w:cs="Arial"/>
          <w:sz w:val="18"/>
          <w:szCs w:val="18"/>
        </w:rPr>
      </w:pPr>
    </w:p>
    <w:p w:rsidR="000C219F" w:rsidRPr="000C219F" w:rsidRDefault="000C219F" w:rsidP="000C219F">
      <w:pPr>
        <w:rPr>
          <w:rFonts w:ascii="Arial" w:hAnsi="Arial" w:cs="Arial"/>
          <w:sz w:val="18"/>
          <w:szCs w:val="18"/>
        </w:rPr>
      </w:pPr>
      <w:r w:rsidRPr="000C219F">
        <w:rPr>
          <w:rFonts w:ascii="Arial" w:hAnsi="Arial" w:cs="Arial"/>
          <w:sz w:val="18"/>
          <w:szCs w:val="18"/>
        </w:rPr>
        <w:t>Dział 1.1</w:t>
      </w:r>
    </w:p>
    <w:p w:rsidR="000C219F" w:rsidRPr="000C219F" w:rsidRDefault="000C219F" w:rsidP="000C219F">
      <w:pPr>
        <w:jc w:val="both"/>
        <w:rPr>
          <w:rFonts w:ascii="Arial" w:hAnsi="Arial" w:cs="Arial"/>
          <w:sz w:val="18"/>
          <w:szCs w:val="18"/>
        </w:rPr>
      </w:pPr>
      <w:r w:rsidRPr="000C219F">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0C219F">
        <w:rPr>
          <w:rFonts w:ascii="Arial" w:hAnsi="Arial" w:cs="Arial"/>
          <w:sz w:val="18"/>
          <w:szCs w:val="18"/>
          <w:vertAlign w:val="superscript"/>
        </w:rPr>
        <w:t>1</w:t>
      </w:r>
      <w:r w:rsidRPr="000C219F">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0C219F" w:rsidRPr="000C219F" w:rsidRDefault="000C219F" w:rsidP="000C219F">
      <w:pPr>
        <w:rPr>
          <w:szCs w:val="24"/>
        </w:rPr>
      </w:pPr>
    </w:p>
    <w:p w:rsidR="000C219F" w:rsidRPr="000C219F" w:rsidRDefault="000C219F" w:rsidP="000C219F">
      <w:pPr>
        <w:rPr>
          <w:rFonts w:ascii="Arial" w:hAnsi="Arial" w:cs="Arial"/>
          <w:sz w:val="18"/>
          <w:szCs w:val="18"/>
        </w:rPr>
      </w:pPr>
      <w:r w:rsidRPr="000C219F">
        <w:rPr>
          <w:rFonts w:ascii="Arial" w:hAnsi="Arial" w:cs="Arial"/>
          <w:sz w:val="18"/>
          <w:szCs w:val="18"/>
        </w:rPr>
        <w:t>Dział 1.2</w:t>
      </w:r>
    </w:p>
    <w:p w:rsidR="000C219F" w:rsidRPr="000C219F" w:rsidRDefault="000C219F" w:rsidP="000C219F">
      <w:pPr>
        <w:rPr>
          <w:rFonts w:ascii="Arial" w:hAnsi="Arial" w:cs="Arial"/>
          <w:sz w:val="18"/>
          <w:szCs w:val="18"/>
        </w:rPr>
      </w:pPr>
      <w:r w:rsidRPr="000C219F">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0C219F" w:rsidRPr="000C219F" w:rsidRDefault="000C219F" w:rsidP="000C219F">
      <w:pPr>
        <w:rPr>
          <w:szCs w:val="24"/>
        </w:rPr>
      </w:pPr>
    </w:p>
    <w:p w:rsidR="000C219F" w:rsidRPr="000C219F" w:rsidRDefault="000C219F" w:rsidP="000C219F">
      <w:pPr>
        <w:rPr>
          <w:rFonts w:ascii="Arial" w:hAnsi="Arial" w:cs="Arial"/>
          <w:sz w:val="18"/>
          <w:szCs w:val="18"/>
        </w:rPr>
      </w:pPr>
      <w:r w:rsidRPr="000C219F">
        <w:rPr>
          <w:rFonts w:ascii="Arial" w:hAnsi="Arial" w:cs="Arial"/>
          <w:sz w:val="18"/>
          <w:szCs w:val="18"/>
        </w:rPr>
        <w:t>Dział 1.1.e</w:t>
      </w: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0C219F">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0C219F">
        <w:rPr>
          <w:rFonts w:ascii="Arial" w:hAnsi="Arial" w:cs="Arial"/>
          <w:sz w:val="18"/>
          <w:szCs w:val="18"/>
        </w:rPr>
        <w:t xml:space="preserve">, </w:t>
      </w:r>
      <w:r w:rsidRPr="000C219F">
        <w:rPr>
          <w:rFonts w:ascii="Arial" w:hAnsi="Arial" w:cs="Arial"/>
          <w:b/>
          <w:sz w:val="18"/>
          <w:szCs w:val="18"/>
        </w:rPr>
        <w:t>gdyż sąd II instancji dokonał jedynie zmiany orzeczenia sadu pierwszej instancji (a nie faktycznego wyznaczenia pełnomocnika)</w:t>
      </w:r>
      <w:r w:rsidRPr="000C219F">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Dział 1.1.1.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Sprawy mediacyjne zostały dodane w związku z regulacją prawną kpc, a sposób rejestracji spraw zawarty jest w </w:t>
      </w:r>
      <w:r w:rsidRPr="000C219F">
        <w:rPr>
          <w:rFonts w:ascii="Arial" w:hAnsi="Arial" w:cs="Arial"/>
          <w:sz w:val="18"/>
          <w:szCs w:val="18"/>
        </w:rPr>
        <w:t>zarządzeniu M</w:t>
      </w:r>
      <w:r w:rsidRPr="000C219F">
        <w:rPr>
          <w:rFonts w:ascii="Arial" w:hAnsi="Arial" w:cs="Arial"/>
          <w:bCs/>
          <w:sz w:val="18"/>
          <w:szCs w:val="18"/>
        </w:rPr>
        <w:t xml:space="preserve">inistra Sprawiedliwości </w:t>
      </w:r>
      <w:r w:rsidRPr="000C219F">
        <w:rPr>
          <w:rFonts w:ascii="Arial" w:hAnsi="Arial" w:cs="Arial"/>
          <w:sz w:val="18"/>
          <w:szCs w:val="18"/>
        </w:rPr>
        <w:t xml:space="preserve">z dnia 28 grudnia 2007 r. </w:t>
      </w:r>
      <w:r w:rsidRPr="000C219F">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0C219F" w:rsidRPr="000C219F" w:rsidRDefault="000C219F" w:rsidP="000C219F">
      <w:pPr>
        <w:autoSpaceDE w:val="0"/>
        <w:autoSpaceDN w:val="0"/>
        <w:adjustRightInd w:val="0"/>
        <w:spacing w:before="120"/>
        <w:jc w:val="both"/>
        <w:rPr>
          <w:rFonts w:ascii="Arial" w:hAnsi="Arial" w:cs="Arial"/>
          <w:bCs/>
          <w:sz w:val="18"/>
          <w:szCs w:val="18"/>
        </w:rPr>
      </w:pPr>
      <w:r w:rsidRPr="000C219F">
        <w:rPr>
          <w:rFonts w:ascii="Arial" w:hAnsi="Arial" w:cs="Arial"/>
          <w:bCs/>
          <w:sz w:val="18"/>
          <w:szCs w:val="18"/>
        </w:rPr>
        <w:t xml:space="preserve">Dział 1.1.2.a. </w:t>
      </w:r>
    </w:p>
    <w:p w:rsidR="000C219F" w:rsidRPr="000C219F" w:rsidRDefault="000C219F" w:rsidP="000C219F">
      <w:pPr>
        <w:autoSpaceDE w:val="0"/>
        <w:autoSpaceDN w:val="0"/>
        <w:adjustRightInd w:val="0"/>
        <w:jc w:val="both"/>
        <w:rPr>
          <w:rFonts w:ascii="Arial" w:hAnsi="Arial" w:cs="Arial"/>
          <w:sz w:val="18"/>
          <w:szCs w:val="18"/>
        </w:rPr>
      </w:pPr>
      <w:r w:rsidRPr="000C219F">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0C219F">
        <w:rPr>
          <w:rFonts w:ascii="Arial" w:hAnsi="Arial" w:cs="Arial"/>
          <w:sz w:val="18"/>
          <w:szCs w:val="18"/>
        </w:rPr>
        <w:t xml:space="preserve"> </w:t>
      </w:r>
    </w:p>
    <w:p w:rsidR="000C219F" w:rsidRPr="000C219F" w:rsidRDefault="000C219F" w:rsidP="000C219F">
      <w:pPr>
        <w:autoSpaceDE w:val="0"/>
        <w:autoSpaceDN w:val="0"/>
        <w:adjustRightInd w:val="0"/>
        <w:jc w:val="both"/>
        <w:rPr>
          <w:rFonts w:ascii="Arial" w:hAnsi="Arial" w:cs="Arial"/>
          <w:b/>
          <w:sz w:val="18"/>
          <w:szCs w:val="18"/>
        </w:rPr>
      </w:pPr>
      <w:r w:rsidRPr="000C219F">
        <w:rPr>
          <w:rFonts w:ascii="Arial" w:hAnsi="Arial" w:cs="Arial"/>
          <w:b/>
          <w:sz w:val="18"/>
          <w:szCs w:val="18"/>
        </w:rPr>
        <w:t>Wiersz 07 dotyczy przypadków kiedy doszło do wyłączenia sprawy, jak też poszczególnych roszczeń do odrębnego rozpoznania”.</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sz w:val="18"/>
          <w:szCs w:val="18"/>
        </w:rPr>
        <w:t xml:space="preserve">W przypadku, gdy sprawy ze zniesionego wydziału przejmuje inny wydział </w:t>
      </w:r>
      <w:r w:rsidRPr="000C219F">
        <w:rPr>
          <w:rFonts w:ascii="Arial" w:hAnsi="Arial" w:cs="Arial"/>
          <w:sz w:val="18"/>
          <w:szCs w:val="18"/>
          <w:u w:val="single"/>
        </w:rPr>
        <w:t>w ramach tego samego sądu</w:t>
      </w:r>
      <w:r w:rsidRPr="000C219F">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0C219F">
        <w:rPr>
          <w:rFonts w:ascii="Arial" w:hAnsi="Arial" w:cs="Arial"/>
          <w:sz w:val="18"/>
          <w:szCs w:val="18"/>
          <w:u w:val="single"/>
        </w:rPr>
        <w:t>do innego sądu</w:t>
      </w:r>
      <w:r w:rsidRPr="000C219F">
        <w:rPr>
          <w:rFonts w:ascii="Arial" w:hAnsi="Arial" w:cs="Arial"/>
          <w:sz w:val="18"/>
          <w:szCs w:val="18"/>
        </w:rPr>
        <w:t>, wówczas w sądzie przejmującym sprawy te należy wykazać w wierszu „w związku ze zmianą obszaru właściwości miejscowej sądu (ów)”.</w:t>
      </w:r>
      <w:r w:rsidRPr="000C219F">
        <w:rPr>
          <w:rFonts w:ascii="Arial" w:hAnsi="Arial" w:cs="Arial"/>
          <w:bCs/>
          <w:sz w:val="18"/>
          <w:szCs w:val="18"/>
        </w:rPr>
        <w:t xml:space="preserve">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spacing w:before="120"/>
        <w:jc w:val="both"/>
        <w:rPr>
          <w:rFonts w:ascii="Arial" w:hAnsi="Arial" w:cs="Arial"/>
          <w:bCs/>
          <w:sz w:val="18"/>
          <w:szCs w:val="18"/>
        </w:rPr>
      </w:pPr>
      <w:r w:rsidRPr="000C219F">
        <w:rPr>
          <w:rFonts w:ascii="Arial" w:hAnsi="Arial" w:cs="Arial"/>
          <w:bCs/>
          <w:sz w:val="18"/>
          <w:szCs w:val="18"/>
        </w:rPr>
        <w:t xml:space="preserve">Dział 1.1.2.b. </w:t>
      </w:r>
    </w:p>
    <w:p w:rsidR="000C219F" w:rsidRPr="000C219F" w:rsidRDefault="000C219F" w:rsidP="000C219F">
      <w:pPr>
        <w:autoSpaceDE w:val="0"/>
        <w:autoSpaceDN w:val="0"/>
        <w:adjustRightInd w:val="0"/>
        <w:jc w:val="both"/>
        <w:rPr>
          <w:rFonts w:ascii="Arial" w:hAnsi="Arial" w:cs="Arial"/>
          <w:b/>
          <w:sz w:val="18"/>
          <w:szCs w:val="18"/>
        </w:rPr>
      </w:pPr>
      <w:r w:rsidRPr="000C219F">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0C219F">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jc w:val="both"/>
        <w:rPr>
          <w:rFonts w:ascii="Arial" w:hAnsi="Arial" w:cs="Arial"/>
          <w:strike/>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Dział 1.2.1.</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0C219F">
        <w:rPr>
          <w:rFonts w:ascii="Arial" w:hAnsi="Arial" w:cs="Arial"/>
          <w:bCs/>
          <w:sz w:val="18"/>
          <w:szCs w:val="18"/>
          <w:u w:val="single"/>
        </w:rPr>
        <w:t>wszystkich</w:t>
      </w:r>
      <w:r w:rsidRPr="000C219F">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0C219F">
        <w:rPr>
          <w:rFonts w:ascii="Arial" w:hAnsi="Arial" w:cs="Arial"/>
          <w:bCs/>
          <w:sz w:val="18"/>
          <w:szCs w:val="18"/>
          <w:u w:val="single"/>
        </w:rPr>
        <w:t>powodujące zakreślenie</w:t>
      </w:r>
      <w:r w:rsidRPr="000C219F">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0C219F">
        <w:rPr>
          <w:rFonts w:ascii="Arial" w:hAnsi="Arial" w:cs="Arial"/>
          <w:b/>
          <w:bCs/>
          <w:sz w:val="18"/>
          <w:szCs w:val="18"/>
        </w:rPr>
        <w:t>Nadto wykazuje się jedynie te wyznaczenia spraw, które wiążą się z merytorycznym ich rozpoznaniem, a nie z kwestiami incydentalnymi w danego rodzaju sprawie.</w:t>
      </w:r>
      <w:r w:rsidRPr="000C219F">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C219F">
        <w:rPr>
          <w:rFonts w:ascii="Arial" w:hAnsi="Arial" w:cs="Arial"/>
          <w:b/>
          <w:bCs/>
          <w:sz w:val="18"/>
          <w:szCs w:val="18"/>
          <w:u w:val="single"/>
        </w:rPr>
        <w:t>wszystkie</w:t>
      </w:r>
      <w:r w:rsidRPr="000C219F">
        <w:rPr>
          <w:rFonts w:ascii="Arial" w:hAnsi="Arial" w:cs="Arial"/>
          <w:bCs/>
          <w:sz w:val="18"/>
          <w:szCs w:val="18"/>
        </w:rPr>
        <w:t xml:space="preserve"> wokandy (choćby było ich więcej niż jedna danego dnia) jakie zostały sporządzone, a dotyczą one wyznaczenia spraw, </w:t>
      </w:r>
      <w:r w:rsidRPr="000C219F">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0C219F">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0C219F" w:rsidRPr="000C219F" w:rsidRDefault="000C219F" w:rsidP="000C219F">
      <w:pPr>
        <w:ind w:firstLine="708"/>
        <w:jc w:val="both"/>
        <w:rPr>
          <w:rFonts w:ascii="Arial" w:hAnsi="Arial" w:cs="Arial"/>
          <w:sz w:val="18"/>
          <w:szCs w:val="18"/>
        </w:rPr>
      </w:pPr>
      <w:r w:rsidRPr="000C219F">
        <w:rPr>
          <w:rFonts w:ascii="Arial" w:hAnsi="Arial" w:cs="Arial"/>
          <w:strike/>
          <w:sz w:val="18"/>
          <w:szCs w:val="18"/>
        </w:rPr>
        <w:t xml:space="preserve"> </w:t>
      </w:r>
    </w:p>
    <w:p w:rsidR="000C219F" w:rsidRPr="000C219F" w:rsidRDefault="000C219F" w:rsidP="000C219F">
      <w:pPr>
        <w:ind w:firstLine="708"/>
        <w:rPr>
          <w:rFonts w:ascii="Arial" w:hAnsi="Arial" w:cs="Arial"/>
          <w:sz w:val="18"/>
          <w:szCs w:val="18"/>
        </w:rPr>
      </w:pPr>
      <w:r w:rsidRPr="000C21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C219F" w:rsidRPr="000C219F" w:rsidRDefault="000C219F" w:rsidP="000C219F">
      <w:pPr>
        <w:autoSpaceDE w:val="0"/>
        <w:autoSpaceDN w:val="0"/>
        <w:adjustRightInd w:val="0"/>
        <w:ind w:firstLine="708"/>
        <w:jc w:val="both"/>
        <w:rPr>
          <w:rFonts w:ascii="Arial" w:hAnsi="Arial" w:cs="Arial"/>
          <w:b/>
          <w:sz w:val="18"/>
          <w:szCs w:val="18"/>
          <w:u w:val="single"/>
        </w:rPr>
      </w:pPr>
      <w:r w:rsidRPr="000C219F">
        <w:rPr>
          <w:rFonts w:ascii="Arial" w:hAnsi="Arial" w:cs="Arial"/>
          <w:b/>
          <w:bCs/>
          <w:sz w:val="18"/>
          <w:szCs w:val="18"/>
          <w:u w:val="single"/>
        </w:rPr>
        <w:t xml:space="preserve">Dane dotyczące działu limitów i obsad wykazywane są na dotychczasowych zasadach. </w:t>
      </w:r>
    </w:p>
    <w:p w:rsidR="000C219F" w:rsidRPr="000C219F" w:rsidRDefault="000C219F" w:rsidP="000C219F">
      <w:pPr>
        <w:autoSpaceDE w:val="0"/>
        <w:autoSpaceDN w:val="0"/>
        <w:adjustRightInd w:val="0"/>
        <w:ind w:firstLine="708"/>
        <w:jc w:val="both"/>
        <w:rPr>
          <w:rFonts w:ascii="Arial" w:hAnsi="Arial" w:cs="Arial"/>
          <w:bCs/>
          <w:sz w:val="14"/>
          <w:szCs w:val="18"/>
        </w:rPr>
      </w:pPr>
      <w:r w:rsidRPr="000C219F">
        <w:rPr>
          <w:rFonts w:ascii="Arial" w:hAnsi="Arial" w:cs="Arial"/>
          <w:bCs/>
          <w:sz w:val="18"/>
          <w:szCs w:val="18"/>
        </w:rPr>
        <w:t>Prezesa sądu i wiceprezesów wykazujemy w kolumnach dotyczących sędziów funkcyjnych choćby orzekali w kilku pionach.</w:t>
      </w:r>
      <w:r w:rsidRPr="000C219F">
        <w:rPr>
          <w:rFonts w:ascii="Arial" w:hAnsi="Arial" w:cs="Arial"/>
          <w:bCs/>
          <w:sz w:val="14"/>
          <w:szCs w:val="18"/>
        </w:rPr>
        <w:t xml:space="preserve"> </w:t>
      </w:r>
    </w:p>
    <w:p w:rsidR="000C219F" w:rsidRPr="000C219F" w:rsidRDefault="000C219F" w:rsidP="000C219F">
      <w:pPr>
        <w:autoSpaceDE w:val="0"/>
        <w:autoSpaceDN w:val="0"/>
        <w:adjustRightInd w:val="0"/>
        <w:ind w:firstLine="708"/>
        <w:jc w:val="both"/>
        <w:rPr>
          <w:rFonts w:ascii="Arial" w:hAnsi="Arial" w:cs="Arial"/>
          <w:strike/>
          <w:sz w:val="18"/>
          <w:szCs w:val="18"/>
        </w:rPr>
      </w:pPr>
      <w:r w:rsidRPr="000C21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Dział 1.2.2.</w:t>
      </w:r>
    </w:p>
    <w:p w:rsidR="000C219F" w:rsidRPr="000C219F" w:rsidRDefault="000C219F" w:rsidP="000C219F">
      <w:pPr>
        <w:autoSpaceDE w:val="0"/>
        <w:autoSpaceDN w:val="0"/>
        <w:adjustRightInd w:val="0"/>
        <w:jc w:val="both"/>
        <w:rPr>
          <w:rFonts w:ascii="Arial" w:hAnsi="Arial" w:cs="Arial"/>
          <w:b/>
          <w:bCs/>
          <w:sz w:val="18"/>
          <w:szCs w:val="18"/>
        </w:rPr>
      </w:pPr>
      <w:r w:rsidRPr="000C219F">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0C219F">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C219F" w:rsidRPr="000C219F" w:rsidRDefault="000C219F" w:rsidP="000C219F">
      <w:pPr>
        <w:ind w:firstLine="708"/>
        <w:jc w:val="both"/>
        <w:rPr>
          <w:rFonts w:ascii="Arial" w:hAnsi="Arial" w:cs="Arial"/>
          <w:strike/>
          <w:sz w:val="18"/>
          <w:szCs w:val="18"/>
        </w:rPr>
      </w:pPr>
    </w:p>
    <w:p w:rsidR="000C219F" w:rsidRPr="000C219F" w:rsidRDefault="000C219F" w:rsidP="000C219F">
      <w:pPr>
        <w:ind w:firstLine="708"/>
        <w:rPr>
          <w:rFonts w:ascii="Arial" w:hAnsi="Arial" w:cs="Arial"/>
          <w:sz w:val="18"/>
          <w:szCs w:val="18"/>
        </w:rPr>
      </w:pPr>
      <w:r w:rsidRPr="000C21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C219F" w:rsidRPr="000C219F" w:rsidRDefault="000C219F" w:rsidP="000C219F">
      <w:pPr>
        <w:autoSpaceDE w:val="0"/>
        <w:autoSpaceDN w:val="0"/>
        <w:adjustRightInd w:val="0"/>
        <w:ind w:firstLine="708"/>
        <w:jc w:val="both"/>
        <w:rPr>
          <w:rFonts w:ascii="Arial" w:hAnsi="Arial" w:cs="Arial"/>
          <w:b/>
          <w:sz w:val="18"/>
          <w:szCs w:val="18"/>
          <w:u w:val="single"/>
        </w:rPr>
      </w:pPr>
      <w:r w:rsidRPr="000C219F">
        <w:rPr>
          <w:rFonts w:ascii="Arial" w:hAnsi="Arial" w:cs="Arial"/>
          <w:b/>
          <w:bCs/>
          <w:sz w:val="18"/>
          <w:szCs w:val="18"/>
          <w:u w:val="single"/>
        </w:rPr>
        <w:t xml:space="preserve">Dane dotyczące działu limitów i obsad wykazywane są na dotychczasowych zasadach. </w:t>
      </w:r>
    </w:p>
    <w:p w:rsidR="000C219F" w:rsidRPr="000C219F" w:rsidRDefault="000C219F" w:rsidP="000C219F">
      <w:pPr>
        <w:autoSpaceDE w:val="0"/>
        <w:autoSpaceDN w:val="0"/>
        <w:adjustRightInd w:val="0"/>
        <w:ind w:firstLine="708"/>
        <w:jc w:val="both"/>
        <w:rPr>
          <w:rFonts w:ascii="Arial" w:hAnsi="Arial" w:cs="Arial"/>
          <w:bCs/>
          <w:sz w:val="14"/>
          <w:szCs w:val="18"/>
        </w:rPr>
      </w:pPr>
      <w:r w:rsidRPr="000C219F">
        <w:rPr>
          <w:rFonts w:ascii="Arial" w:hAnsi="Arial" w:cs="Arial"/>
          <w:bCs/>
          <w:sz w:val="18"/>
          <w:szCs w:val="18"/>
        </w:rPr>
        <w:t>Prezesa sądu i wiceprezesów wykazujemy w kolumnach dotyczących sędziów funkcyjnych choćby orzekali w kilku pionach.</w:t>
      </w:r>
      <w:r w:rsidRPr="000C219F">
        <w:rPr>
          <w:rFonts w:ascii="Arial" w:hAnsi="Arial" w:cs="Arial"/>
          <w:bCs/>
          <w:sz w:val="14"/>
          <w:szCs w:val="18"/>
        </w:rPr>
        <w:t xml:space="preserve"> </w:t>
      </w:r>
    </w:p>
    <w:p w:rsidR="000C219F" w:rsidRPr="000C219F" w:rsidRDefault="000C219F" w:rsidP="000C219F">
      <w:pPr>
        <w:autoSpaceDE w:val="0"/>
        <w:autoSpaceDN w:val="0"/>
        <w:adjustRightInd w:val="0"/>
        <w:ind w:firstLine="708"/>
        <w:jc w:val="both"/>
        <w:rPr>
          <w:rFonts w:ascii="Arial" w:hAnsi="Arial" w:cs="Arial"/>
          <w:bCs/>
          <w:sz w:val="18"/>
          <w:szCs w:val="18"/>
        </w:rPr>
      </w:pPr>
      <w:r w:rsidRPr="000C21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sz w:val="18"/>
          <w:szCs w:val="18"/>
        </w:rPr>
      </w:pPr>
      <w:r w:rsidRPr="000C219F">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0C219F" w:rsidRPr="000C219F" w:rsidRDefault="000C219F" w:rsidP="000C219F">
      <w:pPr>
        <w:autoSpaceDE w:val="0"/>
        <w:autoSpaceDN w:val="0"/>
        <w:adjustRightInd w:val="0"/>
        <w:ind w:firstLine="708"/>
        <w:jc w:val="both"/>
        <w:rPr>
          <w:rFonts w:ascii="Arial" w:hAnsi="Arial" w:cs="Arial"/>
          <w:strike/>
          <w:sz w:val="18"/>
          <w:szCs w:val="18"/>
        </w:rPr>
      </w:pPr>
    </w:p>
    <w:p w:rsidR="000C219F" w:rsidRPr="000C219F" w:rsidRDefault="000C219F" w:rsidP="000C219F">
      <w:pPr>
        <w:autoSpaceDE w:val="0"/>
        <w:autoSpaceDN w:val="0"/>
        <w:adjustRightInd w:val="0"/>
        <w:spacing w:before="120"/>
        <w:jc w:val="both"/>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1.3.1</w:t>
      </w:r>
    </w:p>
    <w:p w:rsidR="000C219F" w:rsidRPr="000C219F" w:rsidRDefault="000C219F" w:rsidP="000C219F">
      <w:pPr>
        <w:jc w:val="both"/>
        <w:rPr>
          <w:rFonts w:ascii="Arial" w:hAnsi="Arial" w:cs="Arial"/>
          <w:b/>
          <w:sz w:val="18"/>
          <w:szCs w:val="18"/>
        </w:rPr>
      </w:pPr>
      <w:r w:rsidRPr="000C219F">
        <w:rPr>
          <w:rFonts w:ascii="Arial" w:hAnsi="Arial" w:cs="Arial"/>
          <w:sz w:val="18"/>
          <w:szCs w:val="18"/>
        </w:rPr>
        <w:t xml:space="preserve">Wykazujemy jako załatwienie przez referendarza rozpoznanie przez niego </w:t>
      </w:r>
      <w:r w:rsidRPr="000C219F">
        <w:rPr>
          <w:rFonts w:ascii="Arial" w:hAnsi="Arial" w:cs="Arial"/>
          <w:b/>
          <w:sz w:val="18"/>
          <w:szCs w:val="18"/>
        </w:rPr>
        <w:t>wniosku o zwolnienie od kosztów sądowych,</w:t>
      </w:r>
      <w:r w:rsidRPr="000C219F">
        <w:rPr>
          <w:rFonts w:ascii="Arial" w:hAnsi="Arial" w:cs="Arial"/>
          <w:sz w:val="18"/>
          <w:szCs w:val="18"/>
        </w:rPr>
        <w:t xml:space="preserve"> złożonego przed wytoczeniem sprawy i zarejestrowanego odrębnie w repertorium „Co” (§106 zarządzenia MS o biurowości) w kolumnach 1 do 6.</w:t>
      </w:r>
    </w:p>
    <w:p w:rsidR="000C219F" w:rsidRPr="000C219F" w:rsidRDefault="000C219F" w:rsidP="000C219F">
      <w:pPr>
        <w:ind w:firstLine="360"/>
        <w:jc w:val="both"/>
        <w:rPr>
          <w:rFonts w:ascii="Arial" w:hAnsi="Arial" w:cs="Arial"/>
          <w:b/>
          <w:sz w:val="20"/>
          <w:szCs w:val="18"/>
        </w:rPr>
      </w:pPr>
      <w:r w:rsidRPr="000C219F">
        <w:rPr>
          <w:rFonts w:ascii="Arial" w:hAnsi="Arial" w:cs="Arial"/>
          <w:b/>
          <w:sz w:val="18"/>
          <w:szCs w:val="18"/>
        </w:rPr>
        <w:t>Rozpoznanie wniosku o ustanowienie adwokata/radcy prawnego z urzędu</w:t>
      </w:r>
      <w:r w:rsidRPr="000C219F">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0C219F">
        <w:rPr>
          <w:rFonts w:ascii="Arial" w:hAnsi="Arial" w:cs="Arial"/>
          <w:b/>
          <w:sz w:val="20"/>
          <w:szCs w:val="18"/>
        </w:rPr>
        <w:t>załatwienia.</w:t>
      </w: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Załatwienie przez referendarza w repertorium „Nc” w wypadku </w:t>
      </w:r>
      <w:r w:rsidRPr="000C219F">
        <w:rPr>
          <w:rFonts w:ascii="Arial" w:hAnsi="Arial" w:cs="Arial"/>
          <w:b/>
          <w:sz w:val="18"/>
          <w:szCs w:val="18"/>
        </w:rPr>
        <w:t>nakazu zapłaty</w:t>
      </w:r>
      <w:r w:rsidRPr="000C219F">
        <w:rPr>
          <w:rFonts w:ascii="Arial" w:hAnsi="Arial" w:cs="Arial"/>
          <w:sz w:val="18"/>
          <w:szCs w:val="18"/>
        </w:rPr>
        <w:t xml:space="preserve"> </w:t>
      </w:r>
      <w:r w:rsidRPr="000C219F">
        <w:rPr>
          <w:rFonts w:ascii="Arial" w:hAnsi="Arial" w:cs="Arial"/>
          <w:b/>
          <w:sz w:val="18"/>
          <w:szCs w:val="18"/>
        </w:rPr>
        <w:t>w postępowaniu upominawczym następuje</w:t>
      </w:r>
      <w:r w:rsidRPr="000C219F">
        <w:rPr>
          <w:rFonts w:ascii="Arial" w:hAnsi="Arial" w:cs="Arial"/>
          <w:sz w:val="18"/>
          <w:szCs w:val="18"/>
        </w:rPr>
        <w:t xml:space="preserve"> po wydaniu nakazu zapłaty w postępowaniu upominawczym (§124 ust. 1a zarządzenia MS o biurowości).</w:t>
      </w:r>
    </w:p>
    <w:p w:rsidR="000C219F" w:rsidRPr="000C219F" w:rsidRDefault="000C219F" w:rsidP="000C219F">
      <w:pPr>
        <w:ind w:firstLine="360"/>
        <w:jc w:val="both"/>
        <w:rPr>
          <w:rFonts w:ascii="Arial" w:hAnsi="Arial" w:cs="Arial"/>
          <w:sz w:val="18"/>
          <w:szCs w:val="18"/>
        </w:rPr>
      </w:pPr>
      <w:r w:rsidRPr="000C219F">
        <w:rPr>
          <w:rFonts w:ascii="Arial" w:hAnsi="Arial" w:cs="Arial"/>
          <w:sz w:val="18"/>
          <w:szCs w:val="18"/>
        </w:rPr>
        <w:t xml:space="preserve">Rozpoznanie wniosku </w:t>
      </w:r>
      <w:r w:rsidRPr="000C219F">
        <w:rPr>
          <w:rFonts w:ascii="Arial" w:hAnsi="Arial" w:cs="Arial"/>
          <w:b/>
          <w:sz w:val="18"/>
          <w:szCs w:val="18"/>
        </w:rPr>
        <w:t xml:space="preserve">o nadanie klauzuli wykonalności (z wyłączeniem bankowych tytułów egzekucyjnych) jest </w:t>
      </w:r>
      <w:r w:rsidRPr="000C219F">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0C219F">
        <w:rPr>
          <w:rFonts w:ascii="Arial" w:hAnsi="Arial" w:cs="Arial"/>
          <w:b/>
          <w:sz w:val="18"/>
          <w:szCs w:val="18"/>
        </w:rPr>
        <w:t xml:space="preserve">o nadanie klauzuli wykonalności bankowemu tytułowi egzekucyjnemu </w:t>
      </w:r>
      <w:r w:rsidRPr="000C219F">
        <w:rPr>
          <w:rFonts w:ascii="Arial" w:hAnsi="Arial" w:cs="Arial"/>
          <w:sz w:val="18"/>
          <w:szCs w:val="18"/>
        </w:rPr>
        <w:t xml:space="preserve">stanowi jego załatwienie w repertorium „Co”. </w:t>
      </w:r>
    </w:p>
    <w:p w:rsidR="000C219F" w:rsidRPr="000C219F" w:rsidRDefault="000C219F" w:rsidP="000C219F">
      <w:pPr>
        <w:jc w:val="both"/>
        <w:rPr>
          <w:rFonts w:ascii="Arial" w:hAnsi="Arial" w:cs="Arial"/>
          <w:b/>
          <w:sz w:val="18"/>
          <w:szCs w:val="18"/>
        </w:rPr>
      </w:pPr>
      <w:r w:rsidRPr="000C219F">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0C219F" w:rsidRPr="000C219F" w:rsidRDefault="000C219F" w:rsidP="000C219F">
      <w:pPr>
        <w:jc w:val="both"/>
        <w:rPr>
          <w:rFonts w:ascii="Arial" w:hAnsi="Arial" w:cs="Arial"/>
          <w:sz w:val="18"/>
          <w:szCs w:val="18"/>
        </w:rPr>
      </w:pPr>
      <w:r w:rsidRPr="000C219F">
        <w:rPr>
          <w:rFonts w:ascii="Arial" w:hAnsi="Arial" w:cs="Arial"/>
          <w:b/>
          <w:sz w:val="18"/>
          <w:szCs w:val="18"/>
        </w:rPr>
        <w:tab/>
      </w:r>
      <w:r w:rsidRPr="000C219F">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1.4.</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 xml:space="preserve">W kolumnach 3, 5, 7, 9 wykazuje się uzasadnienia sporządzone we wskazanych w nich terminach, które przypadają </w:t>
      </w:r>
      <w:r w:rsidRPr="000C219F">
        <w:rPr>
          <w:rFonts w:ascii="Arial" w:hAnsi="Arial" w:cs="Arial"/>
          <w:b/>
          <w:bCs/>
          <w:sz w:val="18"/>
          <w:szCs w:val="18"/>
          <w:u w:val="single"/>
        </w:rPr>
        <w:t>po terminie ustawowym</w:t>
      </w:r>
      <w:r w:rsidRPr="000C219F">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0C219F">
        <w:rPr>
          <w:rFonts w:ascii="Arial" w:hAnsi="Arial" w:cs="Arial"/>
          <w:b/>
          <w:bCs/>
          <w:sz w:val="18"/>
          <w:szCs w:val="18"/>
          <w:u w:val="single"/>
        </w:rPr>
        <w:t>nadto</w:t>
      </w:r>
      <w:r w:rsidRPr="000C219F">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C219F" w:rsidRPr="000C219F" w:rsidRDefault="000C219F" w:rsidP="000C219F">
      <w:pPr>
        <w:rPr>
          <w:rFonts w:ascii="Arial" w:hAnsi="Arial" w:cs="Arial"/>
          <w:bCs/>
          <w:sz w:val="18"/>
          <w:szCs w:val="18"/>
        </w:rPr>
      </w:pPr>
      <w:r w:rsidRPr="000C219F">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0C219F">
        <w:rPr>
          <w:rFonts w:ascii="Arial" w:hAnsi="Arial" w:cs="Arial"/>
          <w:bCs/>
          <w:sz w:val="18"/>
          <w:szCs w:val="18"/>
          <w:vertAlign w:val="superscript"/>
        </w:rPr>
        <w:t xml:space="preserve"> </w:t>
      </w:r>
      <w:r w:rsidRPr="000C219F">
        <w:rPr>
          <w:rFonts w:ascii="Arial" w:hAnsi="Arial" w:cs="Arial"/>
          <w:bCs/>
          <w:sz w:val="18"/>
          <w:szCs w:val="18"/>
        </w:rPr>
        <w:t xml:space="preserve">331 </w:t>
      </w:r>
      <w:r w:rsidRPr="000C219F">
        <w:rPr>
          <w:rFonts w:ascii="Arial" w:hAnsi="Arial" w:cs="Arial"/>
          <w:bCs/>
          <w:sz w:val="18"/>
          <w:szCs w:val="18"/>
          <w:vertAlign w:val="superscript"/>
        </w:rPr>
        <w:t xml:space="preserve">1 </w:t>
      </w:r>
      <w:r w:rsidRPr="000C219F">
        <w:rPr>
          <w:rFonts w:ascii="Arial" w:hAnsi="Arial" w:cs="Arial"/>
          <w:bCs/>
          <w:sz w:val="18"/>
          <w:szCs w:val="18"/>
        </w:rPr>
        <w:t>kpc</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2.1.1.</w:t>
      </w:r>
    </w:p>
    <w:p w:rsidR="000C219F" w:rsidRPr="000C219F" w:rsidRDefault="000C219F" w:rsidP="000C219F">
      <w:pPr>
        <w:rPr>
          <w:rFonts w:ascii="Arial" w:hAnsi="Arial" w:cs="Arial"/>
          <w:bCs/>
          <w:sz w:val="4"/>
          <w:szCs w:val="4"/>
        </w:rPr>
      </w:pPr>
    </w:p>
    <w:p w:rsidR="000C219F" w:rsidRPr="000C219F" w:rsidRDefault="000C219F" w:rsidP="000C219F">
      <w:pPr>
        <w:jc w:val="both"/>
        <w:rPr>
          <w:rFonts w:ascii="Arial" w:hAnsi="Arial" w:cs="Arial"/>
          <w:b/>
          <w:sz w:val="18"/>
          <w:szCs w:val="18"/>
        </w:rPr>
      </w:pPr>
      <w:r w:rsidRPr="000C219F">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0C219F">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0C219F">
        <w:rPr>
          <w:rFonts w:ascii="Arial" w:hAnsi="Arial" w:cs="Arial"/>
          <w:b/>
          <w:sz w:val="18"/>
          <w:szCs w:val="18"/>
        </w:rPr>
        <w:t>W wierszu 09 wykazuje się inne sprawy egzekucyjne nie wymienione w wierszach 07 i 08, które są oznaczone symbolami 103 i od 119 do 121.</w:t>
      </w:r>
      <w:r w:rsidRPr="000C219F">
        <w:rPr>
          <w:b/>
          <w:szCs w:val="24"/>
        </w:rPr>
        <w:t xml:space="preserve"> </w:t>
      </w:r>
    </w:p>
    <w:p w:rsidR="000C219F" w:rsidRPr="000C219F" w:rsidRDefault="000C219F" w:rsidP="000C219F">
      <w:pPr>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Dział 2.1.1.1. </w:t>
      </w:r>
    </w:p>
    <w:p w:rsidR="000C219F" w:rsidRPr="000C219F" w:rsidRDefault="000C219F" w:rsidP="000C219F">
      <w:pPr>
        <w:rPr>
          <w:rFonts w:ascii="Arial" w:hAnsi="Arial" w:cs="Arial"/>
          <w:bCs/>
          <w:sz w:val="18"/>
          <w:szCs w:val="18"/>
          <w:u w:val="single"/>
        </w:rPr>
      </w:pPr>
      <w:r w:rsidRPr="000C219F">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0C219F" w:rsidRPr="000C219F" w:rsidRDefault="000C219F" w:rsidP="000C219F">
      <w:pPr>
        <w:jc w:val="both"/>
        <w:rPr>
          <w:rFonts w:ascii="Arial" w:hAnsi="Arial" w:cs="Arial"/>
          <w:sz w:val="18"/>
          <w:szCs w:val="18"/>
        </w:rPr>
      </w:pP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2.1.1.a</w:t>
      </w:r>
    </w:p>
    <w:p w:rsidR="000C219F" w:rsidRPr="000C219F" w:rsidRDefault="000C219F" w:rsidP="000C219F">
      <w:pPr>
        <w:rPr>
          <w:rFonts w:ascii="Arial" w:hAnsi="Arial" w:cs="Arial"/>
          <w:b/>
          <w:bCs/>
          <w:sz w:val="4"/>
          <w:szCs w:val="4"/>
        </w:rPr>
      </w:pP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Dział ten dotyczy wszystkich spraw zawieszonych niezałatwionych na ostatni dzień okresu sprawozdawczego, które zostały również wykazane w dziale 2.1.1. </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2.1.1.a.1.</w:t>
      </w:r>
    </w:p>
    <w:p w:rsidR="000C219F" w:rsidRPr="000C219F" w:rsidRDefault="000C219F" w:rsidP="000C219F">
      <w:pPr>
        <w:rPr>
          <w:rFonts w:ascii="Arial" w:hAnsi="Arial" w:cs="Arial"/>
          <w:bCs/>
          <w:sz w:val="18"/>
          <w:szCs w:val="18"/>
          <w:u w:val="single"/>
        </w:rPr>
      </w:pPr>
      <w:r w:rsidRPr="000C219F">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bCs/>
          <w:sz w:val="18"/>
          <w:szCs w:val="18"/>
        </w:rPr>
      </w:pPr>
    </w:p>
    <w:p w:rsidR="000C219F" w:rsidRPr="000C219F" w:rsidRDefault="000C219F" w:rsidP="000C219F">
      <w:pPr>
        <w:spacing w:before="120"/>
        <w:rPr>
          <w:rFonts w:ascii="Arial" w:hAnsi="Arial" w:cs="Arial"/>
          <w:bCs/>
          <w:sz w:val="18"/>
          <w:szCs w:val="18"/>
        </w:rPr>
      </w:pPr>
      <w:r w:rsidRPr="000C219F">
        <w:rPr>
          <w:rFonts w:ascii="Arial" w:hAnsi="Arial" w:cs="Arial"/>
          <w:bCs/>
          <w:sz w:val="18"/>
          <w:szCs w:val="18"/>
        </w:rPr>
        <w:t>Dział 2.1.2.</w:t>
      </w:r>
    </w:p>
    <w:p w:rsidR="000C219F" w:rsidRPr="000C219F" w:rsidRDefault="000C219F" w:rsidP="000C219F">
      <w:pPr>
        <w:shd w:val="clear" w:color="auto" w:fill="FFFFFF"/>
        <w:jc w:val="both"/>
        <w:rPr>
          <w:rFonts w:ascii="Arial" w:hAnsi="Arial" w:cs="Arial"/>
          <w:b/>
          <w:bCs/>
          <w:sz w:val="18"/>
          <w:szCs w:val="18"/>
        </w:rPr>
      </w:pPr>
      <w:r w:rsidRPr="000C219F">
        <w:rPr>
          <w:rFonts w:ascii="Arial" w:hAnsi="Arial" w:cs="Arial"/>
          <w:sz w:val="18"/>
          <w:szCs w:val="18"/>
        </w:rPr>
        <w:t xml:space="preserve">Dział ten dotyczy wszystkich spraw zakreślonych w wyniku zawieszenia postępowania i dotyczy spraw zawieszonych, niezależnie od daty zawieszenia (a </w:t>
      </w:r>
      <w:r w:rsidRPr="000C219F">
        <w:rPr>
          <w:rFonts w:ascii="Arial" w:hAnsi="Arial" w:cs="Arial"/>
          <w:b/>
          <w:bCs/>
          <w:sz w:val="18"/>
          <w:szCs w:val="18"/>
        </w:rPr>
        <w:t xml:space="preserve">więc dotyczy okresów sprzed nowelizacji kpc dokonanej w dniu 5 lutego 2005 r. , jak i po nowelizacji). </w:t>
      </w:r>
      <w:r w:rsidRPr="000C219F">
        <w:rPr>
          <w:rFonts w:ascii="Arial" w:hAnsi="Arial" w:cs="Arial"/>
          <w:sz w:val="18"/>
          <w:szCs w:val="18"/>
        </w:rPr>
        <w:t xml:space="preserve">Okres zawieszenia liczymy od daty </w:t>
      </w:r>
      <w:r w:rsidRPr="000C219F">
        <w:rPr>
          <w:rFonts w:ascii="Arial" w:hAnsi="Arial" w:cs="Arial"/>
          <w:bCs/>
          <w:sz w:val="18"/>
          <w:szCs w:val="18"/>
        </w:rPr>
        <w:t xml:space="preserve">pierwszego </w:t>
      </w:r>
      <w:r w:rsidRPr="000C219F">
        <w:rPr>
          <w:rFonts w:ascii="Arial" w:hAnsi="Arial" w:cs="Arial"/>
          <w:sz w:val="18"/>
          <w:szCs w:val="18"/>
        </w:rPr>
        <w:t xml:space="preserve">wpływu sprawy.  </w:t>
      </w:r>
      <w:r w:rsidRPr="000C219F">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0C219F">
        <w:rPr>
          <w:rFonts w:ascii="Arial" w:hAnsi="Arial" w:cs="Arial"/>
          <w:sz w:val="18"/>
          <w:szCs w:val="18"/>
        </w:rPr>
        <w:t xml:space="preserve"> Sprawy zawieszone, które zostały umorzone (np. wobec upływu czasu na podstawie art. 182 § 1 kpc) powinny zostać wykazane , jako zakończone w dziale ewidencyjnym, </w:t>
      </w:r>
      <w:r w:rsidRPr="000C219F">
        <w:rPr>
          <w:rFonts w:ascii="Arial" w:hAnsi="Arial" w:cs="Arial"/>
          <w:b/>
          <w:bCs/>
          <w:sz w:val="18"/>
          <w:szCs w:val="18"/>
        </w:rPr>
        <w:t xml:space="preserve">o ile wcześniej nie zostały zakreślone i wykazane w kolumnie „ inne załatwienia”. </w:t>
      </w:r>
    </w:p>
    <w:p w:rsidR="000C219F" w:rsidRPr="000C219F" w:rsidRDefault="000C219F" w:rsidP="000C219F">
      <w:pPr>
        <w:shd w:val="clear" w:color="auto" w:fill="FFFFFF"/>
        <w:jc w:val="both"/>
        <w:rPr>
          <w:rFonts w:ascii="Arial" w:hAnsi="Arial" w:cs="Arial"/>
          <w:b/>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 xml:space="preserve">Dział 2.1.2.1. </w:t>
      </w:r>
    </w:p>
    <w:p w:rsidR="000C219F" w:rsidRPr="000C219F" w:rsidRDefault="000C219F" w:rsidP="000C219F">
      <w:pPr>
        <w:rPr>
          <w:rFonts w:ascii="Arial" w:hAnsi="Arial" w:cs="Arial"/>
          <w:bCs/>
          <w:sz w:val="18"/>
          <w:szCs w:val="18"/>
          <w:u w:val="single"/>
        </w:rPr>
      </w:pPr>
      <w:r w:rsidRPr="000C219F">
        <w:rPr>
          <w:rFonts w:ascii="Arial" w:hAnsi="Arial" w:cs="Arial"/>
          <w:bCs/>
          <w:sz w:val="18"/>
          <w:szCs w:val="18"/>
        </w:rPr>
        <w:t xml:space="preserve">Wykazujemy sprawy  zawieszone zakreślone </w:t>
      </w:r>
      <w:r w:rsidRPr="000C219F">
        <w:rPr>
          <w:rFonts w:ascii="Arial" w:hAnsi="Arial" w:cs="Arial"/>
          <w:sz w:val="18"/>
          <w:szCs w:val="18"/>
        </w:rPr>
        <w:t xml:space="preserve">z czasem </w:t>
      </w:r>
      <w:r w:rsidRPr="000C219F">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jc w:val="both"/>
        <w:rPr>
          <w:rFonts w:ascii="Arial" w:hAnsi="Arial" w:cs="Arial"/>
          <w:bCs/>
          <w:sz w:val="18"/>
          <w:szCs w:val="18"/>
        </w:rPr>
      </w:pPr>
    </w:p>
    <w:p w:rsidR="000C219F" w:rsidRPr="000C219F" w:rsidRDefault="000C219F" w:rsidP="000C219F">
      <w:pPr>
        <w:widowControl w:val="0"/>
        <w:outlineLvl w:val="0"/>
        <w:rPr>
          <w:rFonts w:ascii="Arial" w:hAnsi="Arial" w:cs="Arial"/>
          <w:bCs/>
          <w:sz w:val="18"/>
          <w:szCs w:val="18"/>
        </w:rPr>
      </w:pPr>
    </w:p>
    <w:p w:rsidR="000C219F" w:rsidRPr="000C219F" w:rsidRDefault="000C219F" w:rsidP="000C219F">
      <w:pPr>
        <w:widowControl w:val="0"/>
        <w:jc w:val="both"/>
        <w:outlineLvl w:val="0"/>
        <w:rPr>
          <w:rFonts w:ascii="Arial" w:hAnsi="Arial" w:cs="Arial"/>
          <w:bCs/>
          <w:sz w:val="18"/>
          <w:szCs w:val="18"/>
        </w:rPr>
      </w:pPr>
      <w:r w:rsidRPr="000C219F">
        <w:rPr>
          <w:rFonts w:ascii="Arial" w:hAnsi="Arial" w:cs="Arial"/>
          <w:bCs/>
          <w:sz w:val="18"/>
          <w:szCs w:val="18"/>
        </w:rPr>
        <w:t>Dział 2.2.</w:t>
      </w:r>
    </w:p>
    <w:p w:rsidR="000C219F" w:rsidRPr="000C219F" w:rsidRDefault="000C219F" w:rsidP="000C219F">
      <w:pPr>
        <w:jc w:val="both"/>
        <w:rPr>
          <w:rFonts w:ascii="Arial" w:hAnsi="Arial" w:cs="Arial"/>
          <w:bCs/>
          <w:sz w:val="20"/>
        </w:rPr>
      </w:pPr>
      <w:r w:rsidRPr="000C219F">
        <w:rPr>
          <w:rFonts w:ascii="Arial" w:hAnsi="Arial" w:cs="Arial"/>
          <w:bCs/>
          <w:sz w:val="18"/>
          <w:szCs w:val="18"/>
        </w:rPr>
        <w:t>W wierszach 01 – 04, 07 należy wykazać wszystkie sprawy „C, CG-G, Ns, Nc, Cz”, które zakończyły się prawomocnie w I instancji. Wykazywane sprawy obejmują także te</w:t>
      </w:r>
      <w:r w:rsidRPr="000C219F">
        <w:rPr>
          <w:rFonts w:ascii="Arial" w:hAnsi="Arial" w:cs="Arial"/>
          <w:sz w:val="18"/>
          <w:szCs w:val="18"/>
        </w:rPr>
        <w:t xml:space="preserve">, w których wydano prawomocne orzeczenie w danym okresie sprawozdawczym w wyniku podjęcia zawieszonego postępowania. </w:t>
      </w:r>
      <w:r w:rsidRPr="000C219F">
        <w:rPr>
          <w:rFonts w:ascii="Arial" w:hAnsi="Arial" w:cs="Arial"/>
          <w:bCs/>
          <w:sz w:val="18"/>
          <w:szCs w:val="18"/>
        </w:rPr>
        <w:t xml:space="preserve">Okres we wszystkich sprawach liczy się od </w:t>
      </w:r>
      <w:r w:rsidRPr="000C219F">
        <w:rPr>
          <w:rFonts w:ascii="Arial" w:hAnsi="Arial" w:cs="Arial"/>
          <w:sz w:val="18"/>
          <w:szCs w:val="18"/>
        </w:rPr>
        <w:t xml:space="preserve">daty pierwszej rejestracji w sądzie i obejmuje także okres, w którym postępowanie w sprawie było zawieszone. </w:t>
      </w:r>
      <w:r w:rsidRPr="000C219F">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2.2 i 2.2.1 nie należy wykazywać spraw zakreślonych, a jedynie sprawy zakończone prawomocnie.</w:t>
      </w:r>
    </w:p>
    <w:p w:rsidR="000C219F" w:rsidRPr="000C219F" w:rsidRDefault="000C219F" w:rsidP="000C219F">
      <w:pPr>
        <w:jc w:val="both"/>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 xml:space="preserve">Dział 2.2.1. </w:t>
      </w:r>
    </w:p>
    <w:p w:rsidR="000C219F" w:rsidRPr="000C219F" w:rsidRDefault="000C219F" w:rsidP="000C219F">
      <w:pPr>
        <w:rPr>
          <w:rFonts w:ascii="Arial" w:hAnsi="Arial" w:cs="Arial"/>
          <w:bCs/>
          <w:sz w:val="18"/>
          <w:szCs w:val="18"/>
          <w:u w:val="single"/>
        </w:rPr>
      </w:pPr>
      <w:r w:rsidRPr="000C219F">
        <w:rPr>
          <w:rFonts w:ascii="Arial" w:hAnsi="Arial" w:cs="Arial"/>
          <w:bCs/>
          <w:sz w:val="18"/>
          <w:szCs w:val="18"/>
        </w:rPr>
        <w:t xml:space="preserve">Wykazujemy sprawy </w:t>
      </w:r>
      <w:r w:rsidRPr="000C219F">
        <w:rPr>
          <w:rFonts w:ascii="Arial" w:hAnsi="Arial" w:cs="Arial"/>
          <w:sz w:val="18"/>
          <w:szCs w:val="18"/>
        </w:rPr>
        <w:t xml:space="preserve">z czasem </w:t>
      </w:r>
      <w:r w:rsidRPr="000C219F">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2.3.</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0C219F" w:rsidRPr="000C219F" w:rsidRDefault="000C219F" w:rsidP="000C219F">
      <w:pPr>
        <w:jc w:val="both"/>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2.3.1.</w:t>
      </w:r>
    </w:p>
    <w:p w:rsidR="000C219F" w:rsidRPr="000C219F" w:rsidRDefault="000C219F" w:rsidP="000C219F">
      <w:pPr>
        <w:rPr>
          <w:rFonts w:ascii="Arial" w:hAnsi="Arial" w:cs="Arial"/>
          <w:bCs/>
          <w:sz w:val="18"/>
          <w:szCs w:val="18"/>
        </w:rPr>
      </w:pPr>
      <w:r w:rsidRPr="000C219F">
        <w:rPr>
          <w:rFonts w:ascii="Arial" w:hAnsi="Arial" w:cs="Arial"/>
          <w:bCs/>
          <w:sz w:val="18"/>
          <w:szCs w:val="18"/>
        </w:rPr>
        <w:t>Wykazujemy czas trwania wszystkich niezakończonych w ostatnim dniu okresu statystycznego mediacji w sprawie  od dnia wydania postanowienia o skierowaniu stron do mediacji.</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3.</w:t>
      </w:r>
    </w:p>
    <w:p w:rsidR="000C219F" w:rsidRPr="000C219F" w:rsidRDefault="000C219F" w:rsidP="000C219F">
      <w:pPr>
        <w:jc w:val="both"/>
        <w:rPr>
          <w:rFonts w:ascii="Arial" w:hAnsi="Arial" w:cs="Arial"/>
          <w:bCs/>
          <w:sz w:val="18"/>
          <w:szCs w:val="18"/>
        </w:rPr>
      </w:pPr>
      <w:r w:rsidRPr="000C219F">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0C219F">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0C219F">
        <w:rPr>
          <w:rFonts w:ascii="Arial" w:hAnsi="Arial" w:cs="Arial"/>
          <w:b/>
          <w:bCs/>
          <w:sz w:val="18"/>
          <w:szCs w:val="18"/>
        </w:rPr>
        <w:t>Terminy pierwszej rozprawy w sprawach przeniesionych z  jednego repertorium do drugiego (np. z Nc do C) powinny być wykazywane od momentu wpisu do nowego repertorium.</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4.1</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ten wypełnia wydział pierwszoinstancyjny i wykazuje sprawy przekazane w okresie statystycznym do wydziału drugoinstancyjnego</w:t>
      </w:r>
    </w:p>
    <w:p w:rsidR="000C219F" w:rsidRPr="000C219F" w:rsidRDefault="000C219F" w:rsidP="000C219F">
      <w:pPr>
        <w:jc w:val="both"/>
        <w:outlineLvl w:val="0"/>
        <w:rPr>
          <w:rFonts w:ascii="Arial" w:hAnsi="Arial" w:cs="Arial"/>
          <w:bCs/>
          <w:sz w:val="18"/>
          <w:szCs w:val="18"/>
        </w:rPr>
      </w:pPr>
    </w:p>
    <w:p w:rsidR="000C219F" w:rsidRPr="000C219F" w:rsidRDefault="000C219F" w:rsidP="000C219F">
      <w:pPr>
        <w:jc w:val="both"/>
        <w:outlineLvl w:val="0"/>
        <w:rPr>
          <w:rFonts w:ascii="Arial" w:hAnsi="Arial" w:cs="Arial"/>
          <w:bCs/>
          <w:sz w:val="18"/>
          <w:szCs w:val="18"/>
        </w:rPr>
      </w:pPr>
      <w:r w:rsidRPr="000C219F">
        <w:rPr>
          <w:rFonts w:ascii="Arial" w:hAnsi="Arial" w:cs="Arial"/>
          <w:bCs/>
          <w:sz w:val="18"/>
          <w:szCs w:val="18"/>
        </w:rPr>
        <w:t xml:space="preserve">Dział 5. </w:t>
      </w:r>
    </w:p>
    <w:p w:rsidR="000C219F" w:rsidRPr="000C219F" w:rsidRDefault="000C219F" w:rsidP="000C219F">
      <w:pPr>
        <w:jc w:val="both"/>
        <w:outlineLvl w:val="0"/>
        <w:rPr>
          <w:rFonts w:ascii="Arial" w:hAnsi="Arial" w:cs="Arial"/>
          <w:bCs/>
          <w:sz w:val="18"/>
          <w:szCs w:val="18"/>
        </w:rPr>
      </w:pPr>
      <w:r w:rsidRPr="000C219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
          <w:bCs/>
          <w:sz w:val="18"/>
          <w:szCs w:val="18"/>
        </w:rPr>
      </w:pPr>
      <w:r w:rsidRPr="000C219F">
        <w:rPr>
          <w:rFonts w:ascii="Arial" w:hAnsi="Arial" w:cs="Arial"/>
          <w:bCs/>
          <w:sz w:val="18"/>
          <w:szCs w:val="18"/>
        </w:rPr>
        <w:t>Dział 5.1.</w:t>
      </w:r>
      <w:r w:rsidRPr="000C219F">
        <w:rPr>
          <w:rFonts w:ascii="Arial" w:hAnsi="Arial" w:cs="Arial"/>
          <w:b/>
          <w:bCs/>
          <w:sz w:val="18"/>
          <w:szCs w:val="18"/>
        </w:rPr>
        <w:t xml:space="preserve"> Limity etatów i obsada sądu (wydziału)</w:t>
      </w:r>
    </w:p>
    <w:p w:rsidR="000C219F" w:rsidRPr="000C219F" w:rsidRDefault="000C219F" w:rsidP="000C219F">
      <w:pPr>
        <w:jc w:val="both"/>
        <w:rPr>
          <w:rFonts w:ascii="Arial" w:hAnsi="Arial" w:cs="Arial"/>
          <w:b/>
          <w:bCs/>
          <w:sz w:val="18"/>
          <w:szCs w:val="18"/>
        </w:rPr>
      </w:pPr>
      <w:r w:rsidRPr="000C219F">
        <w:rPr>
          <w:rFonts w:ascii="Arial" w:hAnsi="Arial" w:cs="Arial"/>
          <w:b/>
          <w:bCs/>
          <w:sz w:val="18"/>
          <w:szCs w:val="18"/>
        </w:rPr>
        <w:t xml:space="preserve">Objaśnienia wspólne dla wszystkich pionów orzeczniczych. </w:t>
      </w:r>
    </w:p>
    <w:p w:rsidR="000C219F" w:rsidRPr="000C219F" w:rsidRDefault="000C219F" w:rsidP="000C219F">
      <w:pPr>
        <w:jc w:val="both"/>
        <w:rPr>
          <w:rFonts w:ascii="Arial" w:hAnsi="Arial" w:cs="Arial"/>
          <w:b/>
          <w:bCs/>
          <w:sz w:val="18"/>
          <w:szCs w:val="18"/>
        </w:rPr>
      </w:pPr>
      <w:r w:rsidRPr="000C219F">
        <w:rPr>
          <w:rFonts w:ascii="Arial" w:hAnsi="Arial" w:cs="Arial"/>
          <w:b/>
          <w:bCs/>
          <w:sz w:val="18"/>
          <w:szCs w:val="18"/>
        </w:rPr>
        <w:t>W kolumnach dotyczących stanowisk sędziowskich wykazuje się również stanowiska asesorskie.</w:t>
      </w:r>
    </w:p>
    <w:p w:rsidR="000C219F" w:rsidRPr="000C219F" w:rsidRDefault="000C219F" w:rsidP="000C219F">
      <w:pPr>
        <w:jc w:val="both"/>
        <w:rPr>
          <w:rFonts w:ascii="Arial" w:hAnsi="Arial" w:cs="Arial"/>
          <w:b/>
          <w:bCs/>
          <w:sz w:val="18"/>
          <w:szCs w:val="18"/>
        </w:rPr>
      </w:pP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Dla wykazywania obsad przyjmuje się, że </w:t>
      </w:r>
      <w:r w:rsidRPr="000C219F">
        <w:rPr>
          <w:rFonts w:ascii="Arial" w:hAnsi="Arial" w:cs="Arial"/>
          <w:b/>
          <w:bCs/>
          <w:sz w:val="18"/>
          <w:szCs w:val="18"/>
        </w:rPr>
        <w:t>rok jest równoważny 360 dniom pracy (12 miesięcy po 30 dni), a okres półrocza 180 dniom</w:t>
      </w:r>
      <w:r w:rsidRPr="000C219F">
        <w:rPr>
          <w:rFonts w:ascii="Arial" w:hAnsi="Arial" w:cs="Arial"/>
          <w:bCs/>
          <w:sz w:val="18"/>
          <w:szCs w:val="18"/>
        </w:rPr>
        <w:t xml:space="preserve">. Przy wyliczaniu obsady średniookresowej i odliczaniu okresów nieobecności w pracy przyjmuje się, że okres nieobecności </w:t>
      </w:r>
      <w:r w:rsidRPr="000C219F">
        <w:rPr>
          <w:rFonts w:ascii="Arial" w:hAnsi="Arial" w:cs="Arial"/>
          <w:b/>
          <w:bCs/>
          <w:sz w:val="18"/>
          <w:szCs w:val="18"/>
        </w:rPr>
        <w:t>w pracy</w:t>
      </w:r>
      <w:r w:rsidRPr="000C219F">
        <w:rPr>
          <w:rFonts w:ascii="Arial" w:hAnsi="Arial" w:cs="Arial"/>
          <w:bCs/>
          <w:sz w:val="18"/>
          <w:szCs w:val="18"/>
        </w:rPr>
        <w:t xml:space="preserve"> niezależnie od przyczyny (urlop, zwolnienie) </w:t>
      </w:r>
      <w:r w:rsidRPr="000C219F">
        <w:rPr>
          <w:rFonts w:ascii="Arial" w:hAnsi="Arial" w:cs="Arial"/>
          <w:b/>
          <w:bCs/>
          <w:sz w:val="18"/>
          <w:szCs w:val="18"/>
        </w:rPr>
        <w:t>obejmujący weekend liczony jest jako całość</w:t>
      </w:r>
      <w:r w:rsidRPr="000C219F">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„Sędziowie funkcyjni SR”</w:t>
      </w:r>
      <w:r w:rsidRPr="000C21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0C219F">
        <w:rPr>
          <w:rFonts w:ascii="Arial" w:hAnsi="Arial" w:cs="Arial"/>
          <w:sz w:val="18"/>
          <w:szCs w:val="18"/>
        </w:rPr>
        <w:t>sędziowie wizytujący zakłady dla nieletnich i zakłady leczenia osób z zaburzeniami psychicznymi.</w:t>
      </w:r>
      <w:r w:rsidRPr="000C219F">
        <w:rPr>
          <w:rFonts w:ascii="Arial" w:hAnsi="Arial" w:cs="Arial"/>
          <w:bCs/>
          <w:sz w:val="18"/>
          <w:szCs w:val="18"/>
        </w:rPr>
        <w:t xml:space="preserve"> </w:t>
      </w:r>
      <w:r w:rsidRPr="000C219F">
        <w:rPr>
          <w:rFonts w:ascii="Arial" w:hAnsi="Arial" w:cs="Arial"/>
          <w:b/>
          <w:bCs/>
          <w:sz w:val="18"/>
          <w:szCs w:val="18"/>
          <w:u w:val="single"/>
        </w:rPr>
        <w:t xml:space="preserv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0C21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„Liczba sędziów SR i wakujących stanowisk sędziowskich, w ramach limitu na ostatni dzień okresu statystycznego”</w:t>
      </w:r>
      <w:r w:rsidRPr="000C21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0C219F">
        <w:rPr>
          <w:rFonts w:ascii="Arial" w:hAnsi="Arial" w:cs="Arial"/>
          <w:b/>
          <w:bCs/>
          <w:sz w:val="18"/>
          <w:szCs w:val="18"/>
        </w:rPr>
        <w:t xml:space="preserve">Wliczeniu podlegają także sędziowie danego sądu rejonowego przydzieleni do danego pionu, a delegowani do Ministerstwa Sprawiedliwości. </w:t>
      </w:r>
      <w:r w:rsidRPr="000C21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C219F">
        <w:rPr>
          <w:rFonts w:ascii="Arial" w:hAnsi="Arial" w:cs="Arial"/>
          <w:b/>
          <w:bCs/>
          <w:sz w:val="18"/>
          <w:szCs w:val="18"/>
        </w:rPr>
        <w:t>w ramach ogólnego limitu etatów sądu rejonowego</w:t>
      </w:r>
      <w:r w:rsidRPr="000C21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0C219F">
        <w:rPr>
          <w:rFonts w:ascii="Arial" w:hAnsi="Arial" w:cs="Arial"/>
          <w:b/>
          <w:bCs/>
          <w:sz w:val="18"/>
          <w:szCs w:val="18"/>
        </w:rPr>
        <w:t>w ramach limitu danego pionu orzeczniczego na</w:t>
      </w:r>
      <w:r w:rsidRPr="000C219F">
        <w:rPr>
          <w:rFonts w:ascii="Arial" w:hAnsi="Arial" w:cs="Arial"/>
          <w:bCs/>
          <w:sz w:val="18"/>
          <w:szCs w:val="18"/>
        </w:rPr>
        <w:t xml:space="preserve"> ostatni dzień okresu statystycznego</w:t>
      </w:r>
      <w:r w:rsidRPr="000C219F">
        <w:rPr>
          <w:rFonts w:ascii="Arial" w:hAnsi="Arial" w:cs="Arial"/>
          <w:b/>
          <w:bCs/>
          <w:sz w:val="18"/>
          <w:szCs w:val="18"/>
        </w:rPr>
        <w:t xml:space="preserve">, </w:t>
      </w:r>
      <w:r w:rsidRPr="000C219F">
        <w:rPr>
          <w:rFonts w:ascii="Arial" w:hAnsi="Arial" w:cs="Arial"/>
          <w:bCs/>
          <w:sz w:val="18"/>
          <w:szCs w:val="18"/>
        </w:rPr>
        <w:t xml:space="preserve">stanowi liczba sędziów i wakujących stanowisk sędziowskich w tym pionie na ten dzień. </w:t>
      </w:r>
      <w:r w:rsidRPr="000C219F">
        <w:rPr>
          <w:rFonts w:ascii="Arial" w:hAnsi="Arial" w:cs="Arial"/>
          <w:b/>
          <w:bCs/>
          <w:sz w:val="18"/>
          <w:szCs w:val="18"/>
        </w:rPr>
        <w:t>W omawianych kolumnach nie należy wykazywać sędziów sądów okręgowych delegowanych do sądu rejonowego</w:t>
      </w:r>
      <w:r w:rsidRPr="000C219F">
        <w:rPr>
          <w:rFonts w:ascii="Arial" w:hAnsi="Arial" w:cs="Arial"/>
          <w:bCs/>
          <w:sz w:val="18"/>
          <w:szCs w:val="18"/>
        </w:rPr>
        <w:t xml:space="preserve">. </w:t>
      </w:r>
      <w:r w:rsidRPr="000C219F">
        <w:rPr>
          <w:rFonts w:ascii="Arial" w:hAnsi="Arial" w:cs="Arial"/>
          <w:b/>
          <w:bCs/>
          <w:sz w:val="18"/>
          <w:szCs w:val="18"/>
          <w:u w:val="single"/>
        </w:rPr>
        <w:t xml:space="preserve">Liczba sędziów i wakujących stanowisk w poszczególnych pionach w kolumnach wykazujących limit </w:t>
      </w:r>
      <w:r w:rsidRPr="000C219F">
        <w:rPr>
          <w:rFonts w:ascii="Arial" w:hAnsi="Arial" w:cs="Arial"/>
          <w:bCs/>
          <w:sz w:val="18"/>
          <w:szCs w:val="18"/>
        </w:rPr>
        <w:t xml:space="preserve">na ostatni dzień okresu statystycznego </w:t>
      </w:r>
      <w:r w:rsidRPr="000C219F">
        <w:rPr>
          <w:rFonts w:ascii="Arial" w:hAnsi="Arial" w:cs="Arial"/>
          <w:b/>
          <w:bCs/>
          <w:sz w:val="18"/>
          <w:szCs w:val="18"/>
          <w:u w:val="single"/>
        </w:rPr>
        <w:t xml:space="preserve">powinna odpowiadać ogólnemu limitowi etatów sędziowskich SR (w tym wakujących stanowisk) w danym sądzie na ten dzień. </w:t>
      </w:r>
      <w:r w:rsidRPr="000C21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0C219F">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0C21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„Liczba sędziów SR i wakujących stanowisk sędziowskich, w ramach limitu w danym okresie statystycznym”</w:t>
      </w:r>
      <w:r w:rsidRPr="000C21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0C219F">
        <w:rPr>
          <w:rFonts w:ascii="Arial" w:hAnsi="Arial" w:cs="Arial"/>
          <w:b/>
          <w:bCs/>
          <w:sz w:val="18"/>
          <w:szCs w:val="18"/>
        </w:rPr>
        <w:t>Wliczeniu podlegają także sędziowie danego sądu rejonowego przydzieleni do danego pionu a delegowani do Ministerstwa Sprawiedliwości.</w:t>
      </w:r>
      <w:r w:rsidRPr="000C21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C219F">
        <w:rPr>
          <w:rFonts w:ascii="Arial" w:hAnsi="Arial" w:cs="Arial"/>
          <w:b/>
          <w:bCs/>
          <w:sz w:val="18"/>
          <w:szCs w:val="18"/>
        </w:rPr>
        <w:t>w ramach ogólnego limitu etatów sądu rejonowego,</w:t>
      </w:r>
      <w:r w:rsidRPr="000C21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0C219F">
        <w:rPr>
          <w:rFonts w:ascii="Arial" w:hAnsi="Arial" w:cs="Arial"/>
          <w:b/>
          <w:bCs/>
          <w:sz w:val="18"/>
          <w:szCs w:val="18"/>
        </w:rPr>
        <w:t>w ramach limitu danego pionu orzeczniczego</w:t>
      </w:r>
      <w:r w:rsidRPr="000C219F">
        <w:rPr>
          <w:rFonts w:ascii="Arial" w:hAnsi="Arial" w:cs="Arial"/>
          <w:bCs/>
          <w:sz w:val="18"/>
          <w:szCs w:val="18"/>
        </w:rPr>
        <w:t xml:space="preserve"> za dany okres statystyczny, stanowi liczba sędziów i wakujących stanowisk sędziowskich w tym pionie. </w:t>
      </w:r>
      <w:r w:rsidRPr="000C219F">
        <w:rPr>
          <w:rFonts w:ascii="Arial" w:hAnsi="Arial" w:cs="Arial"/>
          <w:b/>
          <w:bCs/>
          <w:sz w:val="18"/>
          <w:szCs w:val="18"/>
        </w:rPr>
        <w:t>W omawianych kolumnach nie należy wykazywać sędziów sądów okręgowych delegowanych do sądu rejonowego</w:t>
      </w:r>
      <w:r w:rsidRPr="000C219F">
        <w:rPr>
          <w:rFonts w:ascii="Arial" w:hAnsi="Arial" w:cs="Arial"/>
          <w:bCs/>
          <w:sz w:val="18"/>
          <w:szCs w:val="18"/>
        </w:rPr>
        <w:t xml:space="preserve">. </w:t>
      </w:r>
      <w:r w:rsidRPr="000C21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0C21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0C21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0C219F">
        <w:rPr>
          <w:rFonts w:ascii="Arial" w:hAnsi="Arial" w:cs="Arial"/>
          <w:b/>
          <w:bCs/>
          <w:sz w:val="18"/>
          <w:szCs w:val="18"/>
        </w:rPr>
        <w:t xml:space="preserve"> </w:t>
      </w:r>
      <w:r w:rsidRPr="000C219F">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0C219F">
        <w:rPr>
          <w:rFonts w:ascii="Arial" w:hAnsi="Arial" w:cs="Arial"/>
          <w:b/>
          <w:bCs/>
          <w:sz w:val="18"/>
          <w:szCs w:val="18"/>
        </w:rPr>
        <w:t>etat</w:t>
      </w:r>
      <w:r w:rsidRPr="000C21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0C219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0C219F">
        <w:rPr>
          <w:rFonts w:ascii="Arial" w:hAnsi="Arial" w:cs="Arial"/>
          <w:bCs/>
          <w:sz w:val="18"/>
          <w:szCs w:val="18"/>
        </w:rPr>
        <w:t>na ostatni dzień okresu statystycznego.</w:t>
      </w:r>
      <w:r w:rsidRPr="000C219F">
        <w:rPr>
          <w:rFonts w:ascii="Arial" w:hAnsi="Arial" w:cs="Arial"/>
          <w:b/>
          <w:bCs/>
          <w:sz w:val="18"/>
          <w:szCs w:val="18"/>
        </w:rPr>
        <w:t xml:space="preserv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Dane dotyczące danego pionu obejmują także dane z wydziałów zamiejscowych danego sądu rejonowego oraz wydziałów wykonawczych i egzekucyjnych.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W sytuacji gdy w sądzie rejonowym w danym pionie jest więcej niż jeden wydział do ustalenia </w:t>
      </w:r>
      <w:r w:rsidRPr="000C219F">
        <w:rPr>
          <w:rFonts w:ascii="Arial" w:hAnsi="Arial" w:cs="Arial"/>
          <w:b/>
          <w:bCs/>
          <w:sz w:val="18"/>
          <w:szCs w:val="18"/>
        </w:rPr>
        <w:t>średniookresowej liczby sesji sędziego SR w danym okresie statystycznym</w:t>
      </w:r>
      <w:r w:rsidRPr="000C219F">
        <w:rPr>
          <w:rFonts w:ascii="Arial" w:hAnsi="Arial" w:cs="Arial"/>
          <w:bCs/>
          <w:sz w:val="18"/>
          <w:szCs w:val="18"/>
        </w:rPr>
        <w:t xml:space="preserve"> (miesięcznym, półrocznym czy też rocznym) przyjmuje się</w:t>
      </w:r>
      <w:r w:rsidRPr="000C219F">
        <w:rPr>
          <w:rFonts w:ascii="Arial" w:hAnsi="Arial" w:cs="Arial"/>
          <w:b/>
          <w:bCs/>
          <w:sz w:val="18"/>
          <w:szCs w:val="18"/>
        </w:rPr>
        <w:t xml:space="preserve"> </w:t>
      </w:r>
      <w:r w:rsidRPr="000C219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0C219F">
        <w:rPr>
          <w:rFonts w:ascii="Arial" w:hAnsi="Arial" w:cs="Arial"/>
          <w:b/>
          <w:bCs/>
          <w:sz w:val="18"/>
          <w:szCs w:val="18"/>
        </w:rPr>
        <w:t>przez obsadę średniookresową</w:t>
      </w:r>
      <w:r w:rsidRPr="000C21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0C21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0C21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Liczby sędziów w kolumnach następujących po obsadzie średniookresowej (</w:t>
      </w:r>
      <w:r w:rsidRPr="000C219F">
        <w:rPr>
          <w:rFonts w:ascii="Arial" w:hAnsi="Arial" w:cs="Arial"/>
          <w:b/>
          <w:bCs/>
          <w:sz w:val="18"/>
          <w:szCs w:val="18"/>
        </w:rPr>
        <w:t>w żadnym wypadku</w:t>
      </w:r>
      <w:r w:rsidRPr="000C219F">
        <w:rPr>
          <w:rFonts w:ascii="Arial" w:hAnsi="Arial" w:cs="Arial"/>
          <w:bCs/>
          <w:sz w:val="18"/>
          <w:szCs w:val="18"/>
        </w:rPr>
        <w:t xml:space="preserve"> </w:t>
      </w:r>
      <w:r w:rsidRPr="000C219F">
        <w:rPr>
          <w:rFonts w:ascii="Arial" w:hAnsi="Arial" w:cs="Arial"/>
          <w:b/>
          <w:bCs/>
          <w:sz w:val="18"/>
          <w:szCs w:val="18"/>
        </w:rPr>
        <w:t xml:space="preserve">nie dotyczy to kolumn dotyczących limitu etatów na ostatni dzień okresu statystycznego czy też za dany okres statystyczny </w:t>
      </w:r>
      <w:r w:rsidRPr="000C219F">
        <w:rPr>
          <w:rFonts w:ascii="Arial" w:hAnsi="Arial" w:cs="Arial"/>
          <w:b/>
          <w:bCs/>
          <w:strike/>
          <w:sz w:val="18"/>
          <w:szCs w:val="18"/>
        </w:rPr>
        <w:t>oraz kolumny dotyczącej sędziów delegowanych do Ministerstwa Sprawiedliwości</w:t>
      </w:r>
      <w:r w:rsidRPr="000C21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C219F">
        <w:rPr>
          <w:rFonts w:ascii="Arial" w:hAnsi="Arial" w:cs="Arial"/>
          <w:bCs/>
          <w:sz w:val="18"/>
          <w:szCs w:val="18"/>
        </w:rPr>
        <w:t xml:space="preserve"> „</w:t>
      </w:r>
      <w:r w:rsidRPr="000C219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0C219F">
        <w:rPr>
          <w:rFonts w:ascii="Arial" w:hAnsi="Arial" w:cs="Arial"/>
          <w:sz w:val="18"/>
          <w:szCs w:val="18"/>
        </w:rPr>
        <w:t xml:space="preserve"> i delegowanych do pełnienia czynności orzeczniczych w pełnym wymiarze w innym sądzie rejonowym</w:t>
      </w:r>
      <w:r w:rsidRPr="000C219F">
        <w:rPr>
          <w:rFonts w:ascii="Arial" w:hAnsi="Arial" w:cs="Arial"/>
          <w:b/>
          <w:bCs/>
          <w:sz w:val="18"/>
          <w:szCs w:val="18"/>
        </w:rPr>
        <w:t>)</w:t>
      </w:r>
      <w:r w:rsidRPr="000C219F">
        <w:rPr>
          <w:rFonts w:ascii="Arial" w:hAnsi="Arial" w:cs="Arial"/>
          <w:bCs/>
          <w:sz w:val="18"/>
          <w:szCs w:val="18"/>
        </w:rPr>
        <w:t xml:space="preserve">” - </w:t>
      </w:r>
      <w:r w:rsidRPr="000C219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0C219F">
        <w:rPr>
          <w:rFonts w:ascii="Arial" w:hAnsi="Arial" w:cs="Arial"/>
          <w:bCs/>
          <w:sz w:val="18"/>
          <w:szCs w:val="18"/>
        </w:rPr>
        <w:t xml:space="preserve">wszystkich okresów nieobecności w pracy, a więc zwolnień lekarskich, urlopów itp. </w:t>
      </w:r>
      <w:r w:rsidRPr="000C219F">
        <w:rPr>
          <w:rFonts w:ascii="Arial" w:hAnsi="Arial" w:cs="Arial"/>
          <w:b/>
          <w:bCs/>
          <w:sz w:val="18"/>
          <w:szCs w:val="18"/>
        </w:rPr>
        <w:t>(patrz punkt I)</w:t>
      </w:r>
      <w:r w:rsidRPr="000C219F">
        <w:rPr>
          <w:rFonts w:ascii="Arial" w:hAnsi="Arial" w:cs="Arial"/>
          <w:bCs/>
          <w:sz w:val="18"/>
          <w:szCs w:val="18"/>
        </w:rPr>
        <w:t xml:space="preserve">. </w:t>
      </w:r>
      <w:r w:rsidRPr="000C21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0C219F">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0C219F">
        <w:rPr>
          <w:rFonts w:ascii="Arial" w:hAnsi="Arial" w:cs="Arial"/>
          <w:b/>
          <w:bCs/>
          <w:sz w:val="18"/>
          <w:szCs w:val="18"/>
        </w:rPr>
        <w:t xml:space="preserve">w trybie art. 77 § 1 usp na czas nieokreślony lub na czas określony orzekających </w:t>
      </w:r>
      <w:r w:rsidRPr="000C219F">
        <w:rPr>
          <w:rFonts w:ascii="Arial" w:hAnsi="Arial" w:cs="Arial"/>
          <w:b/>
          <w:bCs/>
          <w:sz w:val="18"/>
          <w:szCs w:val="18"/>
          <w:u w:val="single"/>
        </w:rPr>
        <w:t>w niepełnym wymiarze</w:t>
      </w:r>
      <w:r w:rsidRPr="000C219F">
        <w:rPr>
          <w:rFonts w:ascii="Arial" w:hAnsi="Arial" w:cs="Arial"/>
          <w:b/>
          <w:bCs/>
          <w:sz w:val="18"/>
          <w:szCs w:val="18"/>
        </w:rPr>
        <w:t xml:space="preserve"> w SO. W obsadę nie wliczamy </w:t>
      </w:r>
      <w:r w:rsidRPr="000C219F">
        <w:rPr>
          <w:rFonts w:ascii="Arial" w:hAnsi="Arial" w:cs="Arial"/>
          <w:b/>
          <w:bCs/>
          <w:sz w:val="18"/>
          <w:szCs w:val="18"/>
          <w:u w:val="single"/>
        </w:rPr>
        <w:t xml:space="preserve">okresów delegacji </w:t>
      </w:r>
      <w:r w:rsidRPr="000C219F">
        <w:rPr>
          <w:rFonts w:ascii="Arial" w:hAnsi="Arial" w:cs="Arial"/>
          <w:b/>
          <w:bCs/>
          <w:sz w:val="18"/>
          <w:szCs w:val="18"/>
        </w:rPr>
        <w:t xml:space="preserve">sędziów SR do Ministerstwa Sprawiedliwości, KSSiP i nie wliczamy </w:t>
      </w:r>
      <w:r w:rsidRPr="000C219F">
        <w:rPr>
          <w:rFonts w:ascii="Arial" w:hAnsi="Arial" w:cs="Arial"/>
          <w:b/>
          <w:bCs/>
          <w:sz w:val="18"/>
          <w:szCs w:val="18"/>
          <w:u w:val="single"/>
        </w:rPr>
        <w:t>okresów delegacji</w:t>
      </w:r>
      <w:r w:rsidRPr="000C219F">
        <w:rPr>
          <w:rFonts w:ascii="Arial" w:hAnsi="Arial" w:cs="Arial"/>
          <w:b/>
          <w:bCs/>
          <w:sz w:val="18"/>
          <w:szCs w:val="18"/>
        </w:rPr>
        <w:t xml:space="preserve"> w trybie art. 77 § 1 usp na czas nieokreślony lub na czas określony orzekających w pełnym wymiarze w SO.</w:t>
      </w:r>
      <w:r w:rsidRPr="000C21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 xml:space="preserve"> „</w:t>
      </w:r>
      <w:r w:rsidRPr="000C21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0C219F">
        <w:rPr>
          <w:rFonts w:ascii="Arial" w:hAnsi="Arial" w:cs="Arial"/>
          <w:b/>
          <w:bCs/>
          <w:sz w:val="18"/>
          <w:szCs w:val="18"/>
        </w:rPr>
        <w:t xml:space="preserve"> (to samo dotyczy sędziów wykonujący czynności orzecznicze na mocy ustawy)</w:t>
      </w:r>
      <w:r w:rsidRPr="000C219F">
        <w:rPr>
          <w:rFonts w:ascii="Arial" w:hAnsi="Arial" w:cs="Arial"/>
          <w:sz w:val="18"/>
          <w:szCs w:val="18"/>
        </w:rPr>
        <w:t>.</w:t>
      </w:r>
      <w:r w:rsidRPr="000C219F">
        <w:rPr>
          <w:rFonts w:ascii="Arial" w:hAnsi="Arial" w:cs="Arial"/>
          <w:bCs/>
          <w:sz w:val="18"/>
          <w:szCs w:val="18"/>
        </w:rPr>
        <w:t xml:space="preserve"> W kolejnej kolumnie wykazujemy liczbę sędziów tj.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0C219F">
        <w:rPr>
          <w:rFonts w:ascii="Arial" w:hAnsi="Arial" w:cs="Arial"/>
          <w:bCs/>
          <w:sz w:val="18"/>
          <w:szCs w:val="18"/>
        </w:rPr>
        <w:t>W kolumnie następnej wykazujemy liczbę sędziów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 „</w:t>
      </w:r>
      <w:r w:rsidRPr="000C219F">
        <w:rPr>
          <w:rFonts w:ascii="Arial" w:hAnsi="Arial" w:cs="Arial"/>
          <w:sz w:val="18"/>
          <w:szCs w:val="18"/>
        </w:rPr>
        <w:t xml:space="preserve">Obsada sędziów z innego SR delegowanych do pełnienia czynności orzeczniczych w pełnym lub niepełnym wymiarze </w:t>
      </w:r>
      <w:r w:rsidRPr="000C219F">
        <w:rPr>
          <w:rFonts w:ascii="Arial" w:hAnsi="Arial" w:cs="Arial"/>
          <w:bCs/>
          <w:sz w:val="18"/>
          <w:szCs w:val="18"/>
        </w:rPr>
        <w:t xml:space="preserve">czy też wykonujący czynności orzecznicze na mocy ustawy </w:t>
      </w:r>
      <w:r w:rsidRPr="000C219F">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0C219F">
        <w:rPr>
          <w:rFonts w:ascii="Arial" w:hAnsi="Arial" w:cs="Arial"/>
          <w:bCs/>
          <w:sz w:val="18"/>
          <w:szCs w:val="18"/>
        </w:rPr>
        <w:t>W kolumnie następnej wykazujemy liczbę sędziów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0C219F">
        <w:rPr>
          <w:rFonts w:ascii="Arial" w:hAnsi="Arial" w:cs="Arial"/>
          <w:bCs/>
          <w:sz w:val="18"/>
          <w:szCs w:val="18"/>
        </w:rPr>
        <w:t>„</w:t>
      </w:r>
      <w:r w:rsidRPr="000C219F">
        <w:rPr>
          <w:rFonts w:ascii="Arial" w:hAnsi="Arial" w:cs="Arial"/>
          <w:b/>
          <w:bCs/>
          <w:sz w:val="18"/>
          <w:szCs w:val="18"/>
        </w:rPr>
        <w:t>Obsadę średniookresową (sędziowie funkcyjni SR)</w:t>
      </w:r>
      <w:r w:rsidRPr="000C219F">
        <w:rPr>
          <w:rFonts w:ascii="Arial" w:hAnsi="Arial" w:cs="Arial"/>
          <w:bCs/>
          <w:sz w:val="18"/>
          <w:szCs w:val="18"/>
        </w:rPr>
        <w:t xml:space="preserve"> – </w:t>
      </w:r>
      <w:r w:rsidRPr="000C219F">
        <w:rPr>
          <w:rFonts w:ascii="Arial" w:hAnsi="Arial" w:cs="Arial"/>
          <w:b/>
          <w:bCs/>
          <w:sz w:val="18"/>
          <w:szCs w:val="18"/>
          <w:u w:val="single"/>
        </w:rPr>
        <w:t>wersja I</w:t>
      </w:r>
      <w:r w:rsidRPr="000C219F">
        <w:rPr>
          <w:rFonts w:ascii="Arial" w:hAnsi="Arial" w:cs="Arial"/>
          <w:bCs/>
          <w:sz w:val="18"/>
          <w:szCs w:val="18"/>
        </w:rPr>
        <w:t xml:space="preserve">” </w:t>
      </w:r>
      <w:r w:rsidRPr="000C219F">
        <w:rPr>
          <w:rFonts w:ascii="Arial" w:hAnsi="Arial" w:cs="Arial"/>
          <w:sz w:val="18"/>
          <w:szCs w:val="18"/>
        </w:rPr>
        <w:t xml:space="preserve">wykazuje się według średniookresowego zatrudnienia </w:t>
      </w:r>
      <w:r w:rsidRPr="000C219F">
        <w:rPr>
          <w:rFonts w:ascii="Arial" w:hAnsi="Arial" w:cs="Arial"/>
          <w:bCs/>
          <w:sz w:val="18"/>
          <w:szCs w:val="18"/>
        </w:rPr>
        <w:t xml:space="preserve">po wcześniejszym ustaleniu, które z osób funkcyjnych w danym pionie orzekają, </w:t>
      </w:r>
      <w:r w:rsidRPr="000C219F">
        <w:rPr>
          <w:rFonts w:ascii="Arial" w:hAnsi="Arial" w:cs="Arial"/>
          <w:sz w:val="18"/>
          <w:szCs w:val="18"/>
        </w:rPr>
        <w:t xml:space="preserve">a zatem faktycznych dni świadczenia pracy w danym okresie statystycznym po odliczeniu </w:t>
      </w:r>
      <w:r w:rsidRPr="000C219F">
        <w:rPr>
          <w:rFonts w:ascii="Arial" w:hAnsi="Arial" w:cs="Arial"/>
          <w:bCs/>
          <w:sz w:val="18"/>
          <w:szCs w:val="18"/>
        </w:rPr>
        <w:t xml:space="preserve">wszystkich okresów nieobecności w pracy, a więc zwolnień lekarskich, urlopów itp. </w:t>
      </w:r>
      <w:r w:rsidRPr="000C219F">
        <w:rPr>
          <w:rFonts w:ascii="Arial" w:hAnsi="Arial" w:cs="Arial"/>
          <w:b/>
          <w:bCs/>
          <w:sz w:val="18"/>
          <w:szCs w:val="18"/>
        </w:rPr>
        <w:t>(patrz punkt I)</w:t>
      </w:r>
      <w:r w:rsidRPr="000C219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0C219F">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0C219F">
        <w:rPr>
          <w:rFonts w:ascii="Arial" w:hAnsi="Arial" w:cs="Arial"/>
          <w:b/>
          <w:bCs/>
          <w:sz w:val="18"/>
          <w:szCs w:val="18"/>
          <w:u w:val="single"/>
        </w:rPr>
        <w:t xml:space="preserve"> </w:t>
      </w:r>
      <w:r w:rsidRPr="000C219F">
        <w:rPr>
          <w:rFonts w:ascii="Arial" w:hAnsi="Arial" w:cs="Arial"/>
          <w:bCs/>
          <w:sz w:val="18"/>
          <w:szCs w:val="18"/>
        </w:rPr>
        <w:t xml:space="preserve">Liczbę dni </w:t>
      </w:r>
      <w:r w:rsidRPr="000C21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C219F">
        <w:rPr>
          <w:rFonts w:ascii="Arial" w:hAnsi="Arial" w:cs="Arial"/>
          <w:b/>
          <w:sz w:val="18"/>
          <w:szCs w:val="18"/>
          <w:u w:val="single"/>
        </w:rPr>
        <w:t>o ile nie ma możliwości określenia obsady w układzie okresowym</w:t>
      </w:r>
      <w:r w:rsidRPr="000C21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C219F">
        <w:rPr>
          <w:rFonts w:ascii="Arial" w:hAnsi="Arial" w:cs="Arial"/>
          <w:b/>
          <w:sz w:val="18"/>
          <w:szCs w:val="18"/>
          <w:u w:val="single"/>
        </w:rPr>
        <w:t>sytuacji czasowego określenia obowiązków orzeczniczych</w:t>
      </w:r>
      <w:r w:rsidRPr="000C21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C219F">
        <w:rPr>
          <w:rFonts w:ascii="Arial" w:hAnsi="Arial" w:cs="Arial"/>
          <w:bCs/>
          <w:sz w:val="18"/>
          <w:szCs w:val="18"/>
        </w:rPr>
        <w:t xml:space="preserve">Sędziowie funkcyjni SR (vide pkt 2 objaśnień do działu 5.1). </w:t>
      </w:r>
      <w:r w:rsidRPr="000C219F">
        <w:rPr>
          <w:rFonts w:ascii="Arial" w:hAnsi="Arial" w:cs="Arial"/>
          <w:b/>
          <w:bCs/>
          <w:sz w:val="18"/>
          <w:szCs w:val="18"/>
        </w:rPr>
        <w:t xml:space="preserve">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„Obsadę średniookresową (sędziowie funkcyjni SR)</w:t>
      </w:r>
      <w:r w:rsidRPr="000C219F">
        <w:rPr>
          <w:rFonts w:ascii="Arial" w:hAnsi="Arial" w:cs="Arial"/>
          <w:bCs/>
          <w:sz w:val="18"/>
          <w:szCs w:val="18"/>
        </w:rPr>
        <w:t xml:space="preserve"> –</w:t>
      </w:r>
      <w:r w:rsidRPr="000C219F">
        <w:rPr>
          <w:rFonts w:ascii="Arial" w:hAnsi="Arial" w:cs="Arial"/>
          <w:b/>
          <w:bCs/>
          <w:sz w:val="18"/>
          <w:szCs w:val="18"/>
          <w:u w:val="single"/>
        </w:rPr>
        <w:t xml:space="preserve"> wersja II</w:t>
      </w:r>
      <w:r w:rsidRPr="000C219F">
        <w:rPr>
          <w:rFonts w:ascii="Arial" w:hAnsi="Arial" w:cs="Arial"/>
          <w:bCs/>
          <w:sz w:val="18"/>
          <w:szCs w:val="18"/>
        </w:rPr>
        <w:t>” wykazuje się poprzez określenie proporcji ich orzekania</w:t>
      </w:r>
      <w:r w:rsidRPr="000C219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0C219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w:t>
      </w:r>
      <w:r w:rsidRPr="000C219F">
        <w:rPr>
          <w:rFonts w:ascii="Arial" w:hAnsi="Arial" w:cs="Arial"/>
          <w:b/>
          <w:bCs/>
          <w:sz w:val="18"/>
          <w:szCs w:val="18"/>
        </w:rPr>
        <w:t xml:space="preserve">Obsadę średniookresową sędziów </w:t>
      </w:r>
      <w:r w:rsidRPr="000C219F">
        <w:rPr>
          <w:rFonts w:ascii="Arial" w:hAnsi="Arial" w:cs="Arial"/>
          <w:sz w:val="18"/>
          <w:szCs w:val="18"/>
        </w:rPr>
        <w:t xml:space="preserve">SR </w:t>
      </w:r>
      <w:r w:rsidRPr="000C219F">
        <w:rPr>
          <w:rFonts w:ascii="Arial" w:hAnsi="Arial" w:cs="Arial"/>
          <w:b/>
          <w:sz w:val="18"/>
          <w:szCs w:val="18"/>
          <w:u w:val="single"/>
        </w:rPr>
        <w:t xml:space="preserve"> w ramach limitu</w:t>
      </w:r>
      <w:r w:rsidRPr="000C219F">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C21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w:t>
      </w:r>
      <w:r w:rsidRPr="000C219F">
        <w:rPr>
          <w:rFonts w:ascii="Arial" w:hAnsi="Arial" w:cs="Arial"/>
          <w:b/>
          <w:bCs/>
          <w:sz w:val="18"/>
          <w:szCs w:val="18"/>
        </w:rPr>
        <w:t xml:space="preserve">Obsadę średniookresową sędziów </w:t>
      </w:r>
      <w:r w:rsidRPr="000C219F">
        <w:rPr>
          <w:rFonts w:ascii="Arial" w:hAnsi="Arial" w:cs="Arial"/>
          <w:sz w:val="18"/>
          <w:szCs w:val="18"/>
        </w:rPr>
        <w:t xml:space="preserve">SR </w:t>
      </w:r>
      <w:r w:rsidRPr="000C219F">
        <w:rPr>
          <w:rFonts w:ascii="Arial" w:hAnsi="Arial" w:cs="Arial"/>
          <w:b/>
          <w:sz w:val="18"/>
          <w:szCs w:val="18"/>
          <w:u w:val="single"/>
        </w:rPr>
        <w:t>w ramach limitu</w:t>
      </w:r>
      <w:r w:rsidRPr="000C219F">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C219F">
        <w:rPr>
          <w:rFonts w:ascii="Arial" w:hAnsi="Arial" w:cs="Arial"/>
          <w:bCs/>
          <w:sz w:val="18"/>
          <w:szCs w:val="18"/>
        </w:rPr>
        <w:t xml:space="preserve">gdyż nieobecności, w tym urlopy, tych sędziów w tym okresie nie mają żadnego wpływu na pracę sądu okręgowego, a okresy nieobecności dotyczą pracy w </w:t>
      </w:r>
      <w:r w:rsidRPr="000C219F">
        <w:rPr>
          <w:rFonts w:ascii="Arial" w:hAnsi="Arial" w:cs="Arial"/>
          <w:sz w:val="18"/>
          <w:szCs w:val="18"/>
        </w:rPr>
        <w:t>Krajowej Szkole Sądownictwa i Prokuratury</w:t>
      </w:r>
      <w:r w:rsidRPr="000C219F">
        <w:rPr>
          <w:rFonts w:ascii="Arial" w:hAnsi="Arial" w:cs="Arial"/>
          <w:bCs/>
          <w:sz w:val="18"/>
          <w:szCs w:val="18"/>
        </w:rPr>
        <w:t>.</w:t>
      </w:r>
      <w:r w:rsidRPr="000C219F">
        <w:rPr>
          <w:rFonts w:ascii="Arial" w:hAnsi="Arial" w:cs="Arial"/>
          <w:sz w:val="18"/>
          <w:szCs w:val="18"/>
        </w:rPr>
        <w:t xml:space="preserve"> </w:t>
      </w:r>
      <w:r w:rsidRPr="000C219F">
        <w:rPr>
          <w:rFonts w:ascii="Arial" w:hAnsi="Arial" w:cs="Arial"/>
          <w:bCs/>
          <w:sz w:val="18"/>
          <w:szCs w:val="18"/>
        </w:rPr>
        <w:t>W następnej kolumnie wykazujemy liczbę sędziów nie w ramach limitu etatów, a jedynie podając liczbę osób, których delegacja dotyczyła.</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C219F">
        <w:rPr>
          <w:rFonts w:ascii="Arial" w:hAnsi="Arial" w:cs="Arial"/>
          <w:bCs/>
          <w:sz w:val="18"/>
          <w:szCs w:val="18"/>
        </w:rPr>
        <w:t>„</w:t>
      </w:r>
      <w:r w:rsidRPr="000C219F">
        <w:rPr>
          <w:rFonts w:ascii="Arial" w:hAnsi="Arial" w:cs="Arial"/>
          <w:b/>
          <w:bCs/>
          <w:sz w:val="18"/>
          <w:szCs w:val="18"/>
        </w:rPr>
        <w:t>Obsadę średniookresową sędziów SR delegowanych w trybie art. 77 § 1 usp na czas nieokreślony lub na czas określony orzekających w pełnym wymiarze w SO</w:t>
      </w:r>
      <w:r w:rsidRPr="000C219F">
        <w:rPr>
          <w:rFonts w:ascii="Arial" w:hAnsi="Arial" w:cs="Arial"/>
          <w:bCs/>
          <w:sz w:val="18"/>
          <w:szCs w:val="18"/>
        </w:rPr>
        <w:t>” – wykazuje się</w:t>
      </w:r>
      <w:r w:rsidRPr="000C219F">
        <w:rPr>
          <w:rFonts w:ascii="Arial" w:hAnsi="Arial" w:cs="Arial"/>
          <w:sz w:val="18"/>
          <w:szCs w:val="18"/>
        </w:rPr>
        <w:t xml:space="preserve"> według średniookresowego zatrudnienia bez względu na faktyczne dni świadczenia pracy w danym okresie statystycznym i jego okresy nieobecności </w:t>
      </w:r>
      <w:r w:rsidRPr="000C219F">
        <w:rPr>
          <w:rFonts w:ascii="Arial" w:hAnsi="Arial" w:cs="Arial"/>
          <w:bCs/>
          <w:sz w:val="18"/>
          <w:szCs w:val="18"/>
        </w:rPr>
        <w:t>w pracy (zwolnienia lekarskie, urlopy itp.).</w:t>
      </w:r>
      <w:r w:rsidRPr="000C219F">
        <w:rPr>
          <w:rFonts w:ascii="Arial" w:hAnsi="Arial" w:cs="Arial"/>
          <w:b/>
          <w:bCs/>
          <w:sz w:val="18"/>
          <w:szCs w:val="18"/>
        </w:rPr>
        <w:t xml:space="preserve"> </w:t>
      </w:r>
      <w:r w:rsidRPr="000C219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0C219F">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w:t>
      </w:r>
      <w:r w:rsidRPr="000C219F">
        <w:rPr>
          <w:rFonts w:ascii="Arial" w:hAnsi="Arial" w:cs="Arial"/>
          <w:b/>
          <w:bCs/>
          <w:sz w:val="18"/>
          <w:szCs w:val="18"/>
        </w:rPr>
        <w:t>Obsadę średniookresową sędziów SR delegowanych w trybie art. 77 § 8 i 9 usp”</w:t>
      </w:r>
      <w:r w:rsidRPr="000C219F">
        <w:rPr>
          <w:rFonts w:ascii="Arial" w:hAnsi="Arial" w:cs="Arial"/>
          <w:bCs/>
          <w:sz w:val="18"/>
          <w:szCs w:val="18"/>
        </w:rPr>
        <w:t xml:space="preserve"> ­ wykazujemy </w:t>
      </w:r>
      <w:r w:rsidRPr="000C219F">
        <w:rPr>
          <w:rFonts w:ascii="Arial" w:hAnsi="Arial" w:cs="Arial"/>
          <w:b/>
          <w:bCs/>
          <w:sz w:val="18"/>
          <w:szCs w:val="18"/>
        </w:rPr>
        <w:t>jedynie w</w:t>
      </w:r>
      <w:r w:rsidRPr="000C219F">
        <w:rPr>
          <w:rFonts w:ascii="Arial" w:hAnsi="Arial" w:cs="Arial"/>
          <w:bCs/>
          <w:sz w:val="18"/>
          <w:szCs w:val="18"/>
        </w:rPr>
        <w:t xml:space="preserve"> przypadku delegacji </w:t>
      </w:r>
      <w:r w:rsidRPr="000C219F">
        <w:rPr>
          <w:rFonts w:ascii="Arial" w:hAnsi="Arial" w:cs="Arial"/>
          <w:b/>
          <w:bCs/>
          <w:sz w:val="18"/>
          <w:szCs w:val="18"/>
        </w:rPr>
        <w:t>na nieprzerwany okres jednego miesiąca.</w:t>
      </w:r>
      <w:r w:rsidRPr="000C219F">
        <w:rPr>
          <w:rFonts w:ascii="Arial" w:hAnsi="Arial" w:cs="Arial"/>
          <w:bCs/>
          <w:sz w:val="18"/>
          <w:szCs w:val="18"/>
        </w:rPr>
        <w:t xml:space="preserve"> Taki okres uwzględnia się w proporcji jednego miesiąca w danym okresie statystycznym, np. roku, a więc 1/12 </w:t>
      </w:r>
      <w:r w:rsidRPr="000C219F">
        <w:rPr>
          <w:rFonts w:ascii="Arial" w:hAnsi="Arial" w:cs="Arial"/>
          <w:b/>
          <w:bCs/>
          <w:sz w:val="18"/>
          <w:szCs w:val="18"/>
        </w:rPr>
        <w:t>rocznej o</w:t>
      </w:r>
      <w:r w:rsidRPr="000C21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w:t>
      </w:r>
      <w:r w:rsidRPr="000C219F">
        <w:rPr>
          <w:rFonts w:ascii="Arial" w:hAnsi="Arial" w:cs="Arial"/>
          <w:sz w:val="18"/>
          <w:szCs w:val="18"/>
        </w:rPr>
        <w:t>Łączna liczba sesji w danym okresie statystycznym (rozprawy i posiedzenia) sędziów SR z wyłączeniami” -</w:t>
      </w:r>
      <w:r w:rsidRPr="000C219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0C219F">
        <w:rPr>
          <w:rFonts w:ascii="Arial" w:hAnsi="Arial" w:cs="Arial"/>
          <w:b/>
          <w:bCs/>
          <w:sz w:val="18"/>
          <w:szCs w:val="18"/>
          <w:u w:val="single"/>
        </w:rPr>
        <w:t xml:space="preserve"> niefunkcyjnego,</w:t>
      </w:r>
      <w:r w:rsidRPr="000C219F">
        <w:rPr>
          <w:rFonts w:ascii="Arial" w:hAnsi="Arial" w:cs="Arial"/>
          <w:bCs/>
          <w:sz w:val="18"/>
          <w:szCs w:val="18"/>
        </w:rPr>
        <w:t xml:space="preserve">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(Dz. Urz. Min. Sprawiedl. poz. 138, z późn. zm.).</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0C219F">
        <w:rPr>
          <w:rFonts w:ascii="Arial" w:hAnsi="Arial" w:cs="Arial"/>
          <w:b/>
          <w:bCs/>
          <w:sz w:val="18"/>
          <w:szCs w:val="18"/>
          <w:u w:val="single"/>
        </w:rPr>
        <w:t>niefunkcyjnego,</w:t>
      </w:r>
      <w:r w:rsidRPr="000C21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28 zarządzenia Ministra Sprawiedliwości z dnia 19 czerwca 2019 roku w sprawie organizacji i zakresu działania sekretariatów sądowych oraz innych działów administracji sądowej </w:t>
      </w:r>
      <w:r w:rsidRPr="000C219F">
        <w:rPr>
          <w:rFonts w:ascii="Arial" w:hAnsi="Arial" w:cs="Arial"/>
          <w:sz w:val="18"/>
          <w:szCs w:val="24"/>
        </w:rPr>
        <w:t>(Dz. Urz. Min. Sprawiedl. poz. 138, z późn. zm.)</w:t>
      </w:r>
      <w:r w:rsidRPr="000C219F">
        <w:rPr>
          <w:rFonts w:ascii="Arial" w:hAnsi="Arial" w:cs="Arial"/>
          <w:bCs/>
          <w:sz w:val="18"/>
          <w:szCs w:val="18"/>
        </w:rPr>
        <w:t>.</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0C219F">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C219F">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C219F">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0C219F" w:rsidRPr="000C219F" w:rsidRDefault="000C219F" w:rsidP="000C219F">
      <w:pPr>
        <w:spacing w:line="220" w:lineRule="exact"/>
        <w:jc w:val="both"/>
        <w:outlineLvl w:val="0"/>
        <w:rPr>
          <w:rFonts w:ascii="Arial" w:hAnsi="Arial" w:cs="Arial"/>
          <w:b/>
          <w:sz w:val="18"/>
          <w:szCs w:val="18"/>
        </w:rPr>
      </w:pPr>
      <w:r w:rsidRPr="000C219F">
        <w:rPr>
          <w:rFonts w:ascii="Arial" w:hAnsi="Arial" w:cs="Arial"/>
          <w:sz w:val="18"/>
          <w:szCs w:val="18"/>
        </w:rPr>
        <w:t>Dział 5.2</w:t>
      </w:r>
      <w:r w:rsidRPr="000C219F">
        <w:rPr>
          <w:rFonts w:ascii="Arial" w:hAnsi="Arial" w:cs="Arial"/>
          <w:b/>
          <w:sz w:val="18"/>
          <w:szCs w:val="18"/>
        </w:rPr>
        <w:t>. Obsada Sądu (Wydziału)</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0C219F" w:rsidRPr="000C219F" w:rsidRDefault="000C219F" w:rsidP="000C219F">
      <w:pPr>
        <w:spacing w:line="220" w:lineRule="exact"/>
        <w:jc w:val="both"/>
        <w:outlineLvl w:val="0"/>
        <w:rPr>
          <w:rFonts w:ascii="Arial" w:hAnsi="Arial" w:cs="Arial"/>
          <w:b/>
          <w:sz w:val="18"/>
          <w:szCs w:val="18"/>
        </w:rPr>
      </w:pP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Dział 6. </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W dziale tym wykazujemy odszkodowania zasądzone od Skarbu Państwa jak i od innych podmiotów o ile wynika to z przedmiotu spraw. W </w:t>
      </w:r>
      <w:r w:rsidRPr="000C219F">
        <w:rPr>
          <w:rFonts w:ascii="Arial" w:hAnsi="Arial" w:cs="Arial"/>
          <w:b/>
          <w:sz w:val="18"/>
          <w:szCs w:val="18"/>
        </w:rPr>
        <w:t xml:space="preserve">dziale tym w kol. 4 i 5 wykazujemy odsetki jedynie w przypadku gdy sąd dokonał ich kapitalizacji i zasądził je wraz z roszczeniem głównym. </w:t>
      </w:r>
      <w:r w:rsidRPr="000C219F">
        <w:rPr>
          <w:rFonts w:ascii="Arial" w:hAnsi="Arial" w:cs="Arial"/>
          <w:sz w:val="18"/>
          <w:szCs w:val="18"/>
        </w:rPr>
        <w:t>Jeżeli</w:t>
      </w:r>
      <w:r w:rsidRPr="000C219F">
        <w:rPr>
          <w:rFonts w:ascii="Arial" w:hAnsi="Arial" w:cs="Arial"/>
          <w:bCs/>
          <w:sz w:val="18"/>
          <w:szCs w:val="18"/>
        </w:rPr>
        <w:t xml:space="preserve"> sąd zasądził w sprawie na rzecz jednej osoby odszkodowanie i zadośćuczynienie, osobę tę wykazujemy wyłącznie w rubryce 2.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Dział 7.2. </w:t>
      </w:r>
      <w:r w:rsidRPr="000C219F">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0C219F" w:rsidRPr="000C219F" w:rsidRDefault="000C219F" w:rsidP="000C219F">
      <w:pPr>
        <w:autoSpaceDE w:val="0"/>
        <w:autoSpaceDN w:val="0"/>
        <w:adjustRightInd w:val="0"/>
        <w:ind w:left="357"/>
        <w:jc w:val="both"/>
        <w:rPr>
          <w:rFonts w:ascii="Arial" w:hAnsi="Arial" w:cs="Arial"/>
          <w:bCs/>
          <w:sz w:val="18"/>
          <w:szCs w:val="18"/>
        </w:rPr>
      </w:pPr>
    </w:p>
    <w:p w:rsidR="000C219F" w:rsidRPr="000C219F" w:rsidRDefault="000C219F" w:rsidP="000C219F">
      <w:pPr>
        <w:jc w:val="both"/>
        <w:rPr>
          <w:rFonts w:ascii="Arial" w:hAnsi="Arial" w:cs="Arial"/>
          <w:bCs/>
          <w:sz w:val="18"/>
          <w:szCs w:val="18"/>
        </w:rPr>
      </w:pPr>
    </w:p>
    <w:p w:rsidR="00C6161E" w:rsidRPr="00D62277" w:rsidRDefault="00C6161E" w:rsidP="000C219F">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BD" w:rsidRDefault="000C77BD">
      <w:r>
        <w:separator/>
      </w:r>
    </w:p>
  </w:endnote>
  <w:endnote w:type="continuationSeparator" w:id="0">
    <w:p w:rsidR="000C77BD" w:rsidRDefault="000C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5" w:rsidRDefault="009711E5">
    <w:pPr>
      <w:pStyle w:val="Stopka"/>
      <w:jc w:val="center"/>
    </w:pPr>
    <w:r w:rsidRPr="003852EC">
      <w:rPr>
        <w:sz w:val="16"/>
        <w:szCs w:val="16"/>
      </w:rPr>
      <w:t xml:space="preserve">Strona </w:t>
    </w:r>
    <w:r w:rsidR="000C32D0" w:rsidRPr="003852EC">
      <w:rPr>
        <w:b/>
        <w:bCs/>
        <w:sz w:val="16"/>
        <w:szCs w:val="16"/>
      </w:rPr>
      <w:fldChar w:fldCharType="begin"/>
    </w:r>
    <w:r w:rsidRPr="003852EC">
      <w:rPr>
        <w:b/>
        <w:bCs/>
        <w:sz w:val="16"/>
        <w:szCs w:val="16"/>
      </w:rPr>
      <w:instrText>PAGE</w:instrText>
    </w:r>
    <w:r w:rsidR="000C32D0" w:rsidRPr="003852EC">
      <w:rPr>
        <w:b/>
        <w:bCs/>
        <w:sz w:val="16"/>
        <w:szCs w:val="16"/>
      </w:rPr>
      <w:fldChar w:fldCharType="separate"/>
    </w:r>
    <w:r w:rsidR="00D15691">
      <w:rPr>
        <w:b/>
        <w:bCs/>
        <w:noProof/>
        <w:sz w:val="16"/>
        <w:szCs w:val="16"/>
      </w:rPr>
      <w:t>2</w:t>
    </w:r>
    <w:r w:rsidR="000C32D0" w:rsidRPr="003852EC">
      <w:rPr>
        <w:b/>
        <w:bCs/>
        <w:sz w:val="16"/>
        <w:szCs w:val="16"/>
      </w:rPr>
      <w:fldChar w:fldCharType="end"/>
    </w:r>
    <w:r w:rsidRPr="003852EC">
      <w:rPr>
        <w:sz w:val="16"/>
        <w:szCs w:val="16"/>
      </w:rPr>
      <w:t xml:space="preserve"> z </w:t>
    </w:r>
    <w:r w:rsidR="000C32D0" w:rsidRPr="003852EC">
      <w:rPr>
        <w:b/>
        <w:bCs/>
        <w:sz w:val="16"/>
        <w:szCs w:val="16"/>
      </w:rPr>
      <w:fldChar w:fldCharType="begin"/>
    </w:r>
    <w:r w:rsidRPr="003852EC">
      <w:rPr>
        <w:b/>
        <w:bCs/>
        <w:sz w:val="16"/>
        <w:szCs w:val="16"/>
      </w:rPr>
      <w:instrText>NUMPAGES</w:instrText>
    </w:r>
    <w:r w:rsidR="000C32D0" w:rsidRPr="003852EC">
      <w:rPr>
        <w:b/>
        <w:bCs/>
        <w:sz w:val="16"/>
        <w:szCs w:val="16"/>
      </w:rPr>
      <w:fldChar w:fldCharType="separate"/>
    </w:r>
    <w:r w:rsidR="00D15691">
      <w:rPr>
        <w:b/>
        <w:bCs/>
        <w:noProof/>
        <w:sz w:val="16"/>
        <w:szCs w:val="16"/>
      </w:rPr>
      <w:t>24</w:t>
    </w:r>
    <w:r w:rsidR="000C32D0" w:rsidRPr="003852EC">
      <w:rPr>
        <w:b/>
        <w:bCs/>
        <w:sz w:val="16"/>
        <w:szCs w:val="16"/>
      </w:rPr>
      <w:fldChar w:fldCharType="end"/>
    </w:r>
  </w:p>
  <w:p w:rsidR="009711E5" w:rsidRDefault="00971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BD" w:rsidRDefault="000C77BD">
      <w:r>
        <w:separator/>
      </w:r>
    </w:p>
  </w:footnote>
  <w:footnote w:type="continuationSeparator" w:id="0">
    <w:p w:rsidR="000C77BD" w:rsidRDefault="000C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5" w:rsidRPr="00FD3A76" w:rsidRDefault="009711E5"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08.02.2021</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32D0"/>
    <w:rsid w:val="000C41CA"/>
    <w:rsid w:val="000C4F65"/>
    <w:rsid w:val="000C5F2F"/>
    <w:rsid w:val="000C6536"/>
    <w:rsid w:val="000C77BD"/>
    <w:rsid w:val="000D0716"/>
    <w:rsid w:val="000D0D1A"/>
    <w:rsid w:val="000D1103"/>
    <w:rsid w:val="000D27BC"/>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68"/>
    <w:rsid w:val="001923D6"/>
    <w:rsid w:val="00192892"/>
    <w:rsid w:val="00193073"/>
    <w:rsid w:val="001936DC"/>
    <w:rsid w:val="00194000"/>
    <w:rsid w:val="0019473A"/>
    <w:rsid w:val="00194CE0"/>
    <w:rsid w:val="00194F84"/>
    <w:rsid w:val="001963D1"/>
    <w:rsid w:val="001A01CC"/>
    <w:rsid w:val="001A09AB"/>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E22"/>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635"/>
    <w:rsid w:val="002C7858"/>
    <w:rsid w:val="002D0536"/>
    <w:rsid w:val="002D13AA"/>
    <w:rsid w:val="002D1DF4"/>
    <w:rsid w:val="002D1E11"/>
    <w:rsid w:val="002D2FB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072F8"/>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6377"/>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7100F"/>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6510"/>
    <w:rsid w:val="006A0170"/>
    <w:rsid w:val="006A1728"/>
    <w:rsid w:val="006A2829"/>
    <w:rsid w:val="006A5D00"/>
    <w:rsid w:val="006A74A8"/>
    <w:rsid w:val="006B0B98"/>
    <w:rsid w:val="006B0F92"/>
    <w:rsid w:val="006B1780"/>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22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546F"/>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F78"/>
    <w:rsid w:val="00A1202A"/>
    <w:rsid w:val="00A12267"/>
    <w:rsid w:val="00A127B7"/>
    <w:rsid w:val="00A12FAA"/>
    <w:rsid w:val="00A13E73"/>
    <w:rsid w:val="00A14029"/>
    <w:rsid w:val="00A143B9"/>
    <w:rsid w:val="00A1631A"/>
    <w:rsid w:val="00A170E7"/>
    <w:rsid w:val="00A20D3E"/>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148A"/>
    <w:rsid w:val="00BA22D5"/>
    <w:rsid w:val="00BA3576"/>
    <w:rsid w:val="00BA4F22"/>
    <w:rsid w:val="00BA5E19"/>
    <w:rsid w:val="00BA7048"/>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8B6"/>
    <w:rsid w:val="00CD6FBA"/>
    <w:rsid w:val="00CE0945"/>
    <w:rsid w:val="00CE1162"/>
    <w:rsid w:val="00CE172F"/>
    <w:rsid w:val="00CE2553"/>
    <w:rsid w:val="00CE27E1"/>
    <w:rsid w:val="00CE2EBE"/>
    <w:rsid w:val="00CE3754"/>
    <w:rsid w:val="00CE4366"/>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5691"/>
    <w:rsid w:val="00D16981"/>
    <w:rsid w:val="00D17970"/>
    <w:rsid w:val="00D17B64"/>
    <w:rsid w:val="00D20F16"/>
    <w:rsid w:val="00D21421"/>
    <w:rsid w:val="00D23714"/>
    <w:rsid w:val="00D24190"/>
    <w:rsid w:val="00D24BC3"/>
    <w:rsid w:val="00D24DB2"/>
    <w:rsid w:val="00D26DCD"/>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684"/>
    <w:rsid w:val="00F97E50"/>
    <w:rsid w:val="00FA01F8"/>
    <w:rsid w:val="00FA0315"/>
    <w:rsid w:val="00FA3A18"/>
    <w:rsid w:val="00FA5001"/>
    <w:rsid w:val="00FA5462"/>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15:docId w15:val="{5A304422-2D90-46F3-8529-4BA2476B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19458</Words>
  <Characters>116754</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Magdalena Siembida</cp:lastModifiedBy>
  <cp:revision>2</cp:revision>
  <cp:lastPrinted>2012-06-12T06:39:00Z</cp:lastPrinted>
  <dcterms:created xsi:type="dcterms:W3CDTF">2021-02-08T08:39:00Z</dcterms:created>
  <dcterms:modified xsi:type="dcterms:W3CDTF">2021-02-08T08:39:00Z</dcterms:modified>
</cp:coreProperties>
</file>