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Stalowej Woli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75E8">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EE5F73" w:rsidRPr="00B17162" w:rsidRDefault="00EE5F73" w:rsidP="00546A3B">
            <w:pPr>
              <w:ind w:left="239" w:right="113"/>
              <w:rPr>
                <w:rFonts w:ascii="Arial" w:hAnsi="Arial" w:cs="Arial"/>
                <w:sz w:val="20"/>
                <w:szCs w:val="20"/>
              </w:rPr>
            </w:pPr>
            <w:r w:rsidRPr="00B17162">
              <w:rPr>
                <w:rFonts w:ascii="Arial" w:hAnsi="Arial" w:cs="Arial"/>
                <w:sz w:val="20"/>
                <w:szCs w:val="20"/>
              </w:rPr>
              <w:t>Termin przekazania:</w:t>
            </w:r>
          </w:p>
          <w:p w:rsidR="00EE5F73" w:rsidRPr="00AA1972" w:rsidRDefault="00EE5F73" w:rsidP="00546A3B">
            <w:pPr>
              <w:ind w:left="239" w:right="113"/>
              <w:rPr>
                <w:rFonts w:ascii="Arial" w:hAnsi="Arial" w:cs="Arial"/>
                <w:sz w:val="18"/>
              </w:rPr>
            </w:pPr>
            <w:r w:rsidRPr="00B17162">
              <w:rPr>
                <w:rFonts w:ascii="Arial" w:hAnsi="Arial" w:cs="Arial"/>
                <w:sz w:val="20"/>
                <w:szCs w:val="20"/>
              </w:rPr>
              <w:t>zgodnie z PBSSP 2019 r.</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I półrocze 2019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1.235</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2.132</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2.288</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1.079</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758</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1.311</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1.400</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669</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378</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380</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421</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293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297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363</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12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10</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64</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60</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9</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11</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207</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224</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63</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20</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38</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55</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46</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422</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1.116</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1.209</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329</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726</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796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185</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24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25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89</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390</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144</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49</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133</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279</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313</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99</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412</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461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244</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5</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6</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19</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14</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22</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19</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13</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22</w:t>
            </w: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565DAB">
      <w:pPr>
        <w:spacing w:before="60" w:line="140" w:lineRule="exact"/>
        <w:rPr>
          <w:rFonts w:ascii="Arial" w:hAnsi="Arial" w:cs="Arial"/>
          <w:sz w:val="13"/>
          <w:szCs w:val="13"/>
        </w:rPr>
      </w:pPr>
      <w:r w:rsidRPr="00773959">
        <w:rPr>
          <w:rFonts w:ascii="Arial" w:hAnsi="Arial" w:cs="Arial"/>
          <w:b/>
          <w:noProof/>
          <w:sz w:val="18"/>
          <w:szCs w:val="18"/>
        </w:rPr>
        <mc:AlternateContent>
          <mc:Choice Requires="wps">
            <w:drawing>
              <wp:anchor distT="0" distB="0" distL="114300" distR="114300" simplePos="0" relativeHeight="251657216" behindDoc="0" locked="0" layoutInCell="1" allowOverlap="1">
                <wp:simplePos x="0" y="0"/>
                <wp:positionH relativeFrom="column">
                  <wp:posOffset>8182610</wp:posOffset>
                </wp:positionH>
                <wp:positionV relativeFrom="paragraph">
                  <wp:posOffset>9525</wp:posOffset>
                </wp:positionV>
                <wp:extent cx="562610" cy="139700"/>
                <wp:effectExtent l="12700" t="7620" r="571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1397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41D6D" id="Rectangle 6" o:spid="_x0000_s1026" style="position:absolute;margin-left:644.3pt;margin-top:.75pt;width:44.3pt;height: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" strokeweight=".5pt"/>
            </w:pict>
          </mc:Fallback>
        </mc:AlternateConten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2.132</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378</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412</w:t>
            </w:r>
          </w:p>
        </w:tc>
      </w:tr>
      <w:tr w:rsidR="004E6E15" w:rsidRPr="00CE79D7" w:rsidTr="006A02DB">
        <w:trPr>
          <w:cantSplit/>
          <w:trHeight w:val="257"/>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691</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280</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411</w:t>
            </w: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23</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23</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64</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64</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4</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4</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sz w:val="16"/>
                <w:szCs w:val="16"/>
              </w:rPr>
            </w:pPr>
            <w:r w:rsidRPr="00CE79D7">
              <w:rPr>
                <w:rFonts w:ascii="Arial" w:hAnsi="Arial" w:cs="Arial"/>
                <w:sz w:val="16"/>
                <w:szCs w:val="16"/>
              </w:rPr>
              <w:t xml:space="preserve">W wyniku </w:t>
            </w:r>
            <w:r w:rsidRPr="00202313">
              <w:rPr>
                <w:rFonts w:ascii="Arial" w:hAnsi="Arial" w:cs="Arial"/>
                <w:sz w:val="16"/>
                <w:szCs w:val="16"/>
              </w:rPr>
              <w:t xml:space="preserve">zmian </w:t>
            </w:r>
            <w:r w:rsidR="00202313" w:rsidRPr="00202313">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3"/>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6"/>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6"/>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7"/>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A2EAB" w:rsidRPr="00CE79D7" w:rsidTr="003B621D">
        <w:trPr>
          <w:cantSplit/>
          <w:trHeight w:val="222"/>
        </w:trPr>
        <w:tc>
          <w:tcPr>
            <w:tcW w:w="1598" w:type="dxa"/>
            <w:gridSpan w:val="4"/>
            <w:vMerge w:val="restart"/>
            <w:tcBorders>
              <w:left w:val="single" w:sz="4" w:space="0" w:color="auto"/>
              <w:right w:val="single" w:sz="4" w:space="0" w:color="auto"/>
            </w:tcBorders>
            <w:vAlign w:val="center"/>
          </w:tcPr>
          <w:p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3B621D">
        <w:trPr>
          <w:cantSplit/>
          <w:trHeight w:val="222"/>
        </w:trPr>
        <w:tc>
          <w:tcPr>
            <w:tcW w:w="1598" w:type="dxa"/>
            <w:gridSpan w:val="4"/>
            <w:vMerge/>
            <w:tcBorders>
              <w:left w:val="single" w:sz="4" w:space="0" w:color="auto"/>
              <w:right w:val="single" w:sz="4" w:space="0" w:color="auto"/>
            </w:tcBorders>
            <w:vAlign w:val="center"/>
          </w:tcPr>
          <w:p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rsidR="004A2EAB" w:rsidRPr="00EF70B0" w:rsidRDefault="004A2EAB" w:rsidP="00A515C7">
            <w:pPr>
              <w:rPr>
                <w:rFonts w:ascii="Arial" w:hAnsi="Arial" w:cs="Arial"/>
                <w:iCs/>
                <w:sz w:val="16"/>
                <w:szCs w:val="16"/>
              </w:rPr>
            </w:pPr>
            <w:r w:rsidRPr="00EF70B0">
              <w:rPr>
                <w:rFonts w:ascii="Arial" w:hAnsi="Arial" w:cs="Arial"/>
                <w:iCs/>
                <w:sz w:val="16"/>
                <w:szCs w:val="16"/>
              </w:rPr>
              <w:t>w związku ze wspólnym wpływem § 54 ust.2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1.340</w:t>
            </w:r>
          </w:p>
        </w:tc>
        <w:tc>
          <w:tcPr>
            <w:tcW w:w="1710" w:type="dxa"/>
            <w:tcBorders>
              <w:left w:val="single" w:sz="4" w:space="0" w:color="auto"/>
              <w:bottom w:val="single" w:sz="18"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rsidR="004A2EAB" w:rsidRDefault="004A2EAB">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50CD" w:rsidRPr="00C850CD" w:rsidRDefault="00C850CD" w:rsidP="00C850CD">
      <w:pPr>
        <w:rPr>
          <w:rFonts w:ascii="Arial" w:hAnsi="Arial" w:cs="Arial"/>
          <w:b/>
          <w:sz w:val="20"/>
          <w:szCs w:val="20"/>
        </w:rPr>
      </w:pPr>
      <w:r w:rsidRPr="00C850CD">
        <w:rPr>
          <w:rFonts w:ascii="Arial" w:hAnsi="Arial" w:cs="Arial"/>
          <w:b/>
          <w:sz w:val="20"/>
          <w:szCs w:val="20"/>
        </w:rPr>
        <w:t>Dział 1.1.1.a. Liczba spraw wpisanych w związku ze zmianą instrukcji MS, utworzeniem, likwidacją lub zmianą obszaru właściwości miejscowej sądu, wydziału/sekcji</w:t>
      </w:r>
    </w:p>
    <w:p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rsidTr="006A02DB">
        <w:trPr>
          <w:cantSplit/>
          <w:trHeight w:val="170"/>
        </w:trPr>
        <w:tc>
          <w:tcPr>
            <w:tcW w:w="4230" w:type="dxa"/>
            <w:gridSpan w:val="7"/>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7"/>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7"/>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6"/>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2.288</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380</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461</w:t>
            </w:r>
          </w:p>
        </w:tc>
      </w:tr>
      <w:tr w:rsidR="004E6E15" w:rsidRPr="00CE79D7" w:rsidTr="00E17B2B">
        <w:trPr>
          <w:cantSplit/>
        </w:trPr>
        <w:tc>
          <w:tcPr>
            <w:tcW w:w="3908" w:type="dxa"/>
            <w:gridSpan w:val="6"/>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21</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21</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6"/>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53</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12</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12</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28</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10</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sz w:val="14"/>
                <w:szCs w:val="16"/>
              </w:rPr>
            </w:pPr>
            <w:r w:rsidRPr="00CE79D7">
              <w:rPr>
                <w:rFonts w:ascii="Arial" w:hAnsi="Arial" w:cs="Arial"/>
                <w:sz w:val="14"/>
                <w:szCs w:val="16"/>
              </w:rPr>
              <w:t xml:space="preserve">W wyniku zmian </w:t>
            </w:r>
            <w:r w:rsidR="00EE498E" w:rsidRPr="00EE498E">
              <w:rPr>
                <w:rFonts w:ascii="Arial" w:hAnsi="Arial" w:cs="Arial"/>
                <w:sz w:val="12"/>
                <w:szCs w:val="12"/>
              </w:rPr>
              <w:t>Zarządzenia Ministra Sprawiedliwości z dnia 12 grudnia 2003 r. w sprawie organizacji i zakresu działania sekretariatów sądowych oraz innych działów administracji sądowej (Dz. Urz. MS. Nr 5, poz.22 z późn. zm.)</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3624D">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FD4938" w:rsidRPr="00CE79D7" w:rsidTr="00E3624D">
        <w:trPr>
          <w:cantSplit/>
        </w:trPr>
        <w:tc>
          <w:tcPr>
            <w:tcW w:w="3908" w:type="dxa"/>
            <w:gridSpan w:val="6"/>
            <w:tcBorders>
              <w:bottom w:val="single" w:sz="4" w:space="0" w:color="auto"/>
              <w:right w:val="single" w:sz="18" w:space="0" w:color="auto"/>
            </w:tcBorders>
            <w:vAlign w:val="center"/>
          </w:tcPr>
          <w:p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23</w:t>
            </w: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23</w:t>
            </w:r>
          </w:p>
        </w:tc>
      </w:tr>
      <w:tr w:rsidR="00A57B0F" w:rsidRPr="00CE79D7" w:rsidTr="000879CB">
        <w:trPr>
          <w:cantSplit/>
        </w:trPr>
        <w:tc>
          <w:tcPr>
            <w:tcW w:w="3908" w:type="dxa"/>
            <w:gridSpan w:val="6"/>
            <w:tcBorders>
              <w:bottom w:val="single" w:sz="4" w:space="0" w:color="auto"/>
              <w:right w:val="single" w:sz="18" w:space="0" w:color="auto"/>
            </w:tcBorders>
            <w:vAlign w:val="center"/>
          </w:tcPr>
          <w:p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339</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39</w:t>
            </w:r>
          </w:p>
        </w:tc>
        <w:tc>
          <w:tcPr>
            <w:tcW w:w="2183" w:type="dxa"/>
            <w:tcBorders>
              <w:top w:val="single" w:sz="4" w:space="0" w:color="auto"/>
              <w:left w:val="single" w:sz="4" w:space="0" w:color="auto"/>
              <w:bottom w:val="single" w:sz="4" w:space="0" w:color="auto"/>
              <w:right w:val="single" w:sz="18"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300</w:t>
            </w:r>
          </w:p>
        </w:tc>
      </w:tr>
      <w:tr w:rsidR="0026197C" w:rsidRPr="00CE79D7" w:rsidTr="00041C6A">
        <w:trPr>
          <w:cantSplit/>
        </w:trPr>
        <w:tc>
          <w:tcPr>
            <w:tcW w:w="1173" w:type="dxa"/>
            <w:gridSpan w:val="3"/>
            <w:vMerge w:val="restart"/>
            <w:tcBorders>
              <w:right w:val="single" w:sz="4" w:space="0" w:color="auto"/>
            </w:tcBorders>
            <w:vAlign w:val="center"/>
          </w:tcPr>
          <w:p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26197C" w:rsidRPr="00CE79D7" w:rsidTr="00041C6A">
        <w:trPr>
          <w:cantSplit/>
        </w:trPr>
        <w:tc>
          <w:tcPr>
            <w:tcW w:w="1173" w:type="dxa"/>
            <w:gridSpan w:val="3"/>
            <w:vMerge/>
            <w:tcBorders>
              <w:bottom w:val="single" w:sz="4" w:space="0" w:color="auto"/>
              <w:right w:val="single" w:sz="4" w:space="0" w:color="auto"/>
            </w:tcBorders>
            <w:vAlign w:val="center"/>
          </w:tcPr>
          <w:p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ze wspólnym wpływem § 54 ust.2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00617B" w:rsidRPr="00CE79D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16</w:t>
            </w:r>
          </w:p>
        </w:tc>
        <w:tc>
          <w:tcPr>
            <w:tcW w:w="207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16</w:t>
            </w:r>
          </w:p>
        </w:tc>
        <w:tc>
          <w:tcPr>
            <w:tcW w:w="2183" w:type="dxa"/>
            <w:tcBorders>
              <w:top w:val="single" w:sz="4" w:space="0" w:color="auto"/>
              <w:left w:val="single" w:sz="4" w:space="0" w:color="auto"/>
              <w:bottom w:val="single" w:sz="4" w:space="0" w:color="auto"/>
              <w:right w:val="single" w:sz="18" w:space="0" w:color="auto"/>
            </w:tcBorders>
            <w:vAlign w:val="center"/>
          </w:tcPr>
          <w:p w:rsidR="0000617B" w:rsidRDefault="0000617B">
            <w:pPr>
              <w:jc w:val="right"/>
              <w:rPr>
                <w:rFonts w:ascii="Arial" w:hAnsi="Arial" w:cs="Arial"/>
                <w:color w:val="000000"/>
                <w:sz w:val="14"/>
                <w:szCs w:val="14"/>
              </w:rPr>
            </w:pPr>
          </w:p>
        </w:tc>
      </w:tr>
      <w:tr w:rsidR="0000617B" w:rsidRPr="00CE79D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1.816</w:t>
            </w:r>
          </w:p>
        </w:tc>
        <w:tc>
          <w:tcPr>
            <w:tcW w:w="207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243</w:t>
            </w:r>
          </w:p>
        </w:tc>
        <w:tc>
          <w:tcPr>
            <w:tcW w:w="2183" w:type="dxa"/>
            <w:tcBorders>
              <w:top w:val="single" w:sz="4" w:space="0" w:color="auto"/>
              <w:left w:val="single" w:sz="4" w:space="0" w:color="auto"/>
              <w:bottom w:val="single" w:sz="18"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138</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199</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112</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14</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22</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50</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104</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54</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15</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50</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48</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154</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68</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10</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19</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39</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rsidTr="00C1353A">
        <w:trPr>
          <w:cantSplit/>
          <w:trHeight w:val="244"/>
        </w:trPr>
        <w:tc>
          <w:tcPr>
            <w:tcW w:w="4556" w:type="dxa"/>
            <w:tcBorders>
              <w:right w:val="single" w:sz="18" w:space="0" w:color="auto"/>
            </w:tcBorders>
            <w:vAlign w:val="center"/>
          </w:tcPr>
          <w:p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1</w:t>
            </w:r>
          </w:p>
        </w:tc>
        <w:tc>
          <w:tcPr>
            <w:tcW w:w="1213"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36"/>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50"/>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2056D8" w:rsidRPr="00835946" w:rsidTr="00C1353A">
        <w:trPr>
          <w:cantSplit/>
          <w:trHeight w:val="250"/>
        </w:trPr>
        <w:tc>
          <w:tcPr>
            <w:tcW w:w="4556" w:type="dxa"/>
            <w:tcBorders>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2</w:t>
            </w:r>
          </w:p>
        </w:tc>
      </w:tr>
      <w:tr w:rsidR="002056D8" w:rsidRPr="00835946" w:rsidTr="00C1353A">
        <w:trPr>
          <w:cantSplit/>
          <w:trHeight w:val="250"/>
        </w:trPr>
        <w:tc>
          <w:tcPr>
            <w:tcW w:w="4556" w:type="dxa"/>
            <w:tcBorders>
              <w:bottom w:val="single" w:sz="8" w:space="0" w:color="auto"/>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2</w:t>
            </w:r>
          </w:p>
        </w:tc>
      </w:tr>
    </w:tbl>
    <w:p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rsidR="000D5E63" w:rsidRDefault="000D5E63" w:rsidP="00AD53D2">
      <w:pPr>
        <w:tabs>
          <w:tab w:val="left" w:pos="6120"/>
        </w:tabs>
        <w:ind w:left="-23" w:right="-266"/>
        <w:rPr>
          <w:rFonts w:ascii="Arial" w:hAnsi="Arial" w:cs="Arial"/>
          <w:b/>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98</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81</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3</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300</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1</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5E2A8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l2br w:val="single" w:sz="4" w:space="0" w:color="auto"/>
              <w:tr2bl w:val="single" w:sz="4"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val="restart"/>
            <w:tcBorders>
              <w:left w:val="single" w:sz="8" w:space="0" w:color="auto"/>
              <w:bottom w:val="single" w:sz="8" w:space="0" w:color="auto"/>
            </w:tcBorders>
            <w:vAlign w:val="center"/>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w których</w:t>
            </w:r>
          </w:p>
          <w:p w:rsidR="00B9516D" w:rsidRPr="00CE79D7" w:rsidRDefault="00B9516D">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odrzucił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right w:val="single" w:sz="18" w:space="0" w:color="auto"/>
            </w:tcBorders>
            <w:vAlign w:val="bottom"/>
          </w:tcPr>
          <w:p w:rsidR="00B9516D" w:rsidRPr="00CE79D7" w:rsidRDefault="00B9516D">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742" w:type="dxa"/>
            <w:vMerge/>
            <w:tcBorders>
              <w:left w:val="single" w:sz="8" w:space="0" w:color="auto"/>
              <w:bottom w:val="single" w:sz="8" w:space="0" w:color="auto"/>
            </w:tcBorders>
            <w:vAlign w:val="bottom"/>
          </w:tcPr>
          <w:p w:rsidR="00B9516D" w:rsidRPr="00CE79D7" w:rsidRDefault="00B9516D">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33</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260</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22</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256</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03086F" w:rsidP="00DF7480">
            <w:pPr>
              <w:jc w:val="right"/>
              <w:rPr>
                <w:rFonts w:ascii="Arial" w:hAnsi="Arial" w:cs="Arial"/>
                <w:sz w:val="14"/>
                <w:szCs w:val="14"/>
              </w:rPr>
            </w:pP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19</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17</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21</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10</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11</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5</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4</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21</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11</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21</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10</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11</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5</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4</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564DC5" w:rsidP="00B9516D">
            <w:pPr>
              <w:jc w:val="right"/>
              <w:rPr>
                <w:rFonts w:ascii="Arial" w:hAnsi="Arial" w:cs="Arial"/>
                <w:sz w:val="14"/>
                <w:szCs w:val="14"/>
              </w:rPr>
            </w:pP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363</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2.995</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123</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482</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300</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182</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80</w:t>
            </w: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102</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782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408</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270</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138</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57</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84</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29</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239</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1.328</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612</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74</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30</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44</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34</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2.513</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1.620</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893</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297</w:t>
            </w: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595</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374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248</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57</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21</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239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157</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1.328</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833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495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164</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331</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538</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368</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127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34</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15</w:t>
            </w: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919"/>
        <w:gridCol w:w="651"/>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344</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123</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2.288</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183</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105</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78</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39</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7"/>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380</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144</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90</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54</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25</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29</w:t>
            </w: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4"/>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154</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50</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29</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12</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4"/>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5"/>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53</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16</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12</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4</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4"/>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4"/>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14C44">
              <w:rPr>
                <w:rFonts w:ascii="Arial" w:hAnsi="Arial" w:cs="Arial"/>
                <w:sz w:val="10"/>
                <w:szCs w:val="10"/>
              </w:rPr>
              <w:t>w wyniku Zarządzenia Ministra Sprawiedliwości z dnia 12 grudnia 2003 r. w sprawie organizacji i zakresu działania sekretariatów</w:t>
            </w:r>
            <w:r w:rsidRPr="00614C44">
              <w:rPr>
                <w:rFonts w:ascii="Arial" w:hAnsi="Arial" w:cs="Arial"/>
                <w:color w:val="FF0000"/>
                <w:sz w:val="10"/>
                <w:szCs w:val="10"/>
              </w:rPr>
              <w:t xml:space="preserve"> sądowych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zmiany organizacyjne związane z </w:t>
            </w:r>
          </w:p>
        </w:tc>
        <w:tc>
          <w:tcPr>
            <w:tcW w:w="651" w:type="dxa"/>
            <w:vMerge w:val="restart"/>
            <w:tcBorders>
              <w:top w:val="single" w:sz="4" w:space="0" w:color="auto"/>
              <w:left w:val="single" w:sz="4" w:space="0" w:color="auto"/>
              <w:right w:val="single" w:sz="4"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utworzeniem</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val="restart"/>
            <w:tcBorders>
              <w:left w:val="single" w:sz="4" w:space="0" w:color="auto"/>
              <w:right w:val="single" w:sz="4"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xml:space="preserve">) </w:t>
            </w:r>
            <w:r w:rsidR="00E37CE7"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E37CE7">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1170" w:type="dxa"/>
            <w:gridSpan w:val="2"/>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651" w:type="dxa"/>
            <w:vMerge/>
            <w:tcBorders>
              <w:left w:val="single" w:sz="4" w:space="0" w:color="auto"/>
              <w:bottom w:val="single" w:sz="4" w:space="0" w:color="auto"/>
              <w:right w:val="single" w:sz="4" w:space="0" w:color="auto"/>
            </w:tcBorders>
            <w:vAlign w:val="center"/>
          </w:tcPr>
          <w:p w:rsidR="00A65310" w:rsidRPr="000124EE" w:rsidRDefault="00A65310"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39</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5"/>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16</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6"/>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224</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6"/>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w tym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1.209</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796</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413</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461</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39</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15</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24</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23</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instrukcji sądowej)</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14</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6"/>
        <w:gridCol w:w="74"/>
        <w:gridCol w:w="201"/>
        <w:gridCol w:w="830"/>
        <w:gridCol w:w="74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7"/>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7"/>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7"/>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8"/>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2.105</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1.300</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805</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253</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551</w:t>
            </w: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7"/>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236</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139</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97</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42</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55</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4"/>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4"/>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4"/>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4"/>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 xml:space="preserve">w wyniku zmian </w:t>
            </w:r>
            <w:r w:rsidRPr="001E2CA1">
              <w:rPr>
                <w:rFonts w:ascii="Arial" w:hAnsi="Arial"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 xml:space="preserve">zmiany organizacyjne związane z </w:t>
            </w:r>
          </w:p>
        </w:tc>
        <w:tc>
          <w:tcPr>
            <w:tcW w:w="240" w:type="pct"/>
            <w:vMerge w:val="restart"/>
            <w:tcBorders>
              <w:top w:val="nil"/>
              <w:left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utworzeniem</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val="restart"/>
            <w:tcBorders>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likwidacją</w:t>
            </w: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00324398"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324398">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334" w:type="pct"/>
            <w:gridSpan w:val="2"/>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240" w:type="pct"/>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39</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20</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19</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14</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5"/>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6"/>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224</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145</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79</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18</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60</w:t>
            </w: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6"/>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w tym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78"/>
        <w:gridCol w:w="2616"/>
        <w:gridCol w:w="401"/>
        <w:gridCol w:w="839"/>
        <w:gridCol w:w="839"/>
        <w:gridCol w:w="839"/>
        <w:gridCol w:w="839"/>
        <w:gridCol w:w="839"/>
        <w:gridCol w:w="839"/>
        <w:gridCol w:w="858"/>
        <w:gridCol w:w="861"/>
        <w:gridCol w:w="858"/>
        <w:gridCol w:w="870"/>
        <w:gridCol w:w="858"/>
        <w:gridCol w:w="898"/>
        <w:gridCol w:w="895"/>
      </w:tblGrid>
      <w:tr w:rsidR="001842FE" w:rsidRPr="000124EE" w:rsidTr="00262B71">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r w:rsidRPr="000124EE">
              <w:rPr>
                <w:rFonts w:ascii="Arial" w:hAnsi="Arial" w:cs="Arial"/>
                <w:sz w:val="14"/>
                <w:szCs w:val="14"/>
              </w:rPr>
              <w:t>SPRAWY</w:t>
            </w:r>
          </w:p>
          <w:p w:rsidR="001842FE" w:rsidRPr="000124EE" w:rsidRDefault="001842FE" w:rsidP="00262B71">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262B71">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262B71">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262B71">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262B71">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262B71">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262B71">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262B71">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262B71">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262B71">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262B71">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1.209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740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469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145</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324</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262B71">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796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474</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322</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85</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237</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262B71">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262B71">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413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266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147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60</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87</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4103FD" w:rsidRDefault="004103FD" w:rsidP="00262B71">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422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272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150</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43</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107</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262B71">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9</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262B71">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instrukcji sądowej)</w:t>
            </w:r>
          </w:p>
        </w:tc>
        <w:tc>
          <w:tcPr>
            <w:tcW w:w="130" w:type="pct"/>
            <w:tcBorders>
              <w:top w:val="nil"/>
              <w:left w:val="single" w:sz="4" w:space="0" w:color="auto"/>
              <w:bottom w:val="single" w:sz="4" w:space="0" w:color="auto"/>
              <w:right w:val="single" w:sz="4" w:space="0" w:color="auto"/>
            </w:tcBorders>
            <w:vAlign w:val="center"/>
          </w:tcPr>
          <w:p w:rsidR="004103FD" w:rsidRDefault="004103FD" w:rsidP="00262B71">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262B71">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262B71">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262B71">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14</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58</w:t>
            </w:r>
          </w:p>
        </w:tc>
        <w:tc>
          <w:tcPr>
            <w:tcW w:w="61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28</w:t>
            </w:r>
          </w:p>
        </w:tc>
        <w:tc>
          <w:tcPr>
            <w:tcW w:w="67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7</w:t>
            </w:r>
          </w:p>
        </w:tc>
        <w:tc>
          <w:tcPr>
            <w:tcW w:w="74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15</w:t>
            </w:r>
          </w:p>
        </w:tc>
        <w:tc>
          <w:tcPr>
            <w:tcW w:w="71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16</w:t>
            </w:r>
          </w:p>
        </w:tc>
        <w:tc>
          <w:tcPr>
            <w:tcW w:w="742" w:type="dxa"/>
            <w:tcBorders>
              <w:top w:val="single" w:sz="18"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16</w:t>
            </w: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48</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21</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6</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13</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14</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14</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7</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42" w:type="dxa"/>
            <w:tcBorders>
              <w:top w:val="single" w:sz="4"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1D4214" w:rsidRPr="00C40D29" w:rsidTr="002C7CD1">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2C7CD1">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1.079</w:t>
            </w:r>
          </w:p>
        </w:tc>
        <w:tc>
          <w:tcPr>
            <w:tcW w:w="86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638</w:t>
            </w:r>
          </w:p>
        </w:tc>
        <w:tc>
          <w:tcPr>
            <w:tcW w:w="87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441</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259</w:t>
            </w:r>
          </w:p>
        </w:tc>
        <w:tc>
          <w:tcPr>
            <w:tcW w:w="6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115</w:t>
            </w:r>
          </w:p>
        </w:tc>
        <w:tc>
          <w:tcPr>
            <w:tcW w:w="73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67</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49</w:t>
            </w:r>
          </w:p>
        </w:tc>
        <w:tc>
          <w:tcPr>
            <w:tcW w:w="600"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71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41"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2C7CD1">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421</w:t>
            </w:r>
          </w:p>
        </w:tc>
        <w:tc>
          <w:tcPr>
            <w:tcW w:w="86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197</w:t>
            </w:r>
          </w:p>
        </w:tc>
        <w:tc>
          <w:tcPr>
            <w:tcW w:w="87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224</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94</w:t>
            </w:r>
          </w:p>
        </w:tc>
        <w:tc>
          <w:tcPr>
            <w:tcW w:w="6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74</w:t>
            </w:r>
          </w:p>
        </w:tc>
        <w:tc>
          <w:tcPr>
            <w:tcW w:w="73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56</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40</w:t>
            </w:r>
          </w:p>
        </w:tc>
        <w:tc>
          <w:tcPr>
            <w:tcW w:w="600"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71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41"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2C7CD1">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363</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169</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194</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74</w:t>
            </w: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70</w:t>
            </w: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50</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35</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2C7CD1">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w:t>
            </w:r>
          </w:p>
        </w:tc>
        <w:tc>
          <w:tcPr>
            <w:tcW w:w="86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87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692"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w:t>
            </w:r>
          </w:p>
        </w:tc>
        <w:tc>
          <w:tcPr>
            <w:tcW w:w="692"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731"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600"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34</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63</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45</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18</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14</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329</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215</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114</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91</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18</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244</w:t>
            </w:r>
          </w:p>
        </w:tc>
        <w:tc>
          <w:tcPr>
            <w:tcW w:w="86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171</w:t>
            </w:r>
          </w:p>
        </w:tc>
        <w:tc>
          <w:tcPr>
            <w:tcW w:w="87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73</w:t>
            </w:r>
          </w:p>
        </w:tc>
        <w:tc>
          <w:tcPr>
            <w:tcW w:w="692"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52</w:t>
            </w:r>
          </w:p>
        </w:tc>
        <w:tc>
          <w:tcPr>
            <w:tcW w:w="692"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w:t>
            </w:r>
          </w:p>
        </w:tc>
        <w:tc>
          <w:tcPr>
            <w:tcW w:w="731"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w:t>
            </w: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600"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2C7CD1">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86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87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692"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692"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853"/>
        <w:gridCol w:w="863"/>
        <w:gridCol w:w="872"/>
        <w:gridCol w:w="692"/>
        <w:gridCol w:w="692"/>
        <w:gridCol w:w="731"/>
        <w:gridCol w:w="719"/>
        <w:gridCol w:w="600"/>
        <w:gridCol w:w="577"/>
        <w:gridCol w:w="719"/>
        <w:gridCol w:w="541"/>
      </w:tblGrid>
      <w:tr w:rsidR="00754204" w:rsidRPr="00C40D29" w:rsidTr="002C7CD1">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85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2C7CD1">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85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63"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87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692"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692"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31"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1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00"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719"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41"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2C7CD1">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5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63"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87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692"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692"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31"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1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00"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719"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41"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2C7CD1">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8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86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1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r>
      <w:tr w:rsidR="00575E83" w:rsidRPr="00C40D29" w:rsidTr="002C7CD1">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8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86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87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3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3</w:t>
            </w: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1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41"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r>
      <w:tr w:rsidR="007C3983" w:rsidRPr="00C40D29" w:rsidTr="002C7CD1">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3</w:t>
            </w: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2</w:t>
            </w: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8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2C7CD1">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8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6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7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692"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31"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00"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1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41"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CC310E" w:rsidRDefault="00606177" w:rsidP="00A84152">
      <w:pPr>
        <w:rPr>
          <w:rFonts w:ascii="Arial" w:hAnsi="Arial" w:cs="Arial"/>
          <w:b/>
        </w:rPr>
      </w:pPr>
      <w:r>
        <w:br w:type="page"/>
      </w: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348</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75</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146</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77</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37</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269</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48</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60</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26</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22</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437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255</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122</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45</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296</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56</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120</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71</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36</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9</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w:t>
            </w: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238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39</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106</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58</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26</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36</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12</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13</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15</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211</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140</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20</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414</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237</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118</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44</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15</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378</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55</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51</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44</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70</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98</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60</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462</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199</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127</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69</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14</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42</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lastRenderedPageBreak/>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28</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9</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26</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21</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17</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23</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20</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4</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8</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7</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31</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6</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17</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DA6CC6" w:rsidRDefault="00DA6CC6" w:rsidP="009C3E62">
      <w:pPr>
        <w:spacing w:after="80"/>
        <w:ind w:left="1120" w:hanging="1120"/>
        <w:rPr>
          <w:rFonts w:ascii="Arial" w:hAnsi="Arial" w:cs="Arial"/>
          <w:sz w:val="16"/>
          <w:szCs w:val="16"/>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Pr="00CE79D7">
        <w:rPr>
          <w:rFonts w:ascii="Arial" w:hAnsi="Arial" w:cs="Arial"/>
          <w:bCs/>
          <w:sz w:val="16"/>
          <w:szCs w:val="16"/>
        </w:rPr>
        <w:t>(§ 448</w:t>
      </w:r>
      <w:r w:rsidR="00766122">
        <w:rPr>
          <w:rFonts w:ascii="Arial" w:hAnsi="Arial" w:cs="Arial"/>
          <w:bCs/>
          <w:sz w:val="16"/>
          <w:szCs w:val="16"/>
          <w:vertAlign w:val="superscript"/>
        </w:rPr>
        <w:t>5</w:t>
      </w:r>
      <w:r w:rsidR="00CA6AA0" w:rsidRPr="00CE79D7">
        <w:rPr>
          <w:rFonts w:ascii="Arial" w:hAnsi="Arial" w:cs="Arial"/>
          <w:bCs/>
          <w:sz w:val="16"/>
          <w:szCs w:val="16"/>
        </w:rPr>
        <w:t>ust 1</w:t>
      </w:r>
      <w:r w:rsidRPr="00CE79D7">
        <w:rPr>
          <w:rFonts w:ascii="Arial" w:hAnsi="Arial" w:cs="Arial"/>
          <w:bCs/>
          <w:sz w:val="16"/>
          <w:szCs w:val="16"/>
        </w:rPr>
        <w:t xml:space="preserve"> </w:t>
      </w:r>
      <w:r w:rsidR="00CA6AA0" w:rsidRPr="00CE79D7">
        <w:rPr>
          <w:rFonts w:ascii="Arial" w:hAnsi="Arial" w:cs="Arial"/>
          <w:bCs/>
          <w:sz w:val="16"/>
          <w:szCs w:val="16"/>
        </w:rPr>
        <w:t>z</w:t>
      </w:r>
      <w:r w:rsidRPr="00CE79D7">
        <w:rPr>
          <w:rFonts w:ascii="Arial" w:hAnsi="Arial" w:cs="Arial"/>
          <w:bCs/>
          <w:sz w:val="16"/>
          <w:szCs w:val="16"/>
        </w:rPr>
        <w:t>arządzeni</w:t>
      </w:r>
      <w:r w:rsidR="00CA6AA0" w:rsidRPr="00CE79D7">
        <w:rPr>
          <w:rFonts w:ascii="Arial" w:hAnsi="Arial" w:cs="Arial"/>
          <w:bCs/>
          <w:sz w:val="16"/>
          <w:szCs w:val="16"/>
        </w:rPr>
        <w:t>a</w:t>
      </w:r>
      <w:r w:rsidRPr="00CE79D7">
        <w:rPr>
          <w:rFonts w:ascii="Arial" w:hAnsi="Arial" w:cs="Arial"/>
          <w:sz w:val="16"/>
          <w:szCs w:val="16"/>
        </w:rPr>
        <w:t xml:space="preserve"> Ministra Sprawiedliwości z dnia 12 grudnia 2003 roku w sprawie organizacji i zakresu działania sekretariatów sądowych oraz innych działów administracji sądowej (Dz. Urz. M</w:t>
      </w:r>
      <w:r w:rsidR="00766122">
        <w:rPr>
          <w:rFonts w:ascii="Arial" w:hAnsi="Arial" w:cs="Arial"/>
          <w:sz w:val="16"/>
          <w:szCs w:val="16"/>
        </w:rPr>
        <w:t>S.</w:t>
      </w:r>
      <w:r w:rsidR="00CA6AA0" w:rsidRPr="00CE79D7">
        <w:rPr>
          <w:rFonts w:ascii="Arial" w:hAnsi="Arial" w:cs="Arial"/>
          <w:sz w:val="16"/>
          <w:szCs w:val="16"/>
        </w:rPr>
        <w:t xml:space="preserve"> </w:t>
      </w:r>
      <w:r w:rsidRPr="00CE79D7">
        <w:rPr>
          <w:rFonts w:ascii="Arial" w:hAnsi="Arial" w:cs="Arial"/>
          <w:sz w:val="16"/>
          <w:szCs w:val="16"/>
        </w:rPr>
        <w:t>Nr 5, poz.</w:t>
      </w:r>
      <w:r w:rsidR="00CA6AA0" w:rsidRPr="00CE79D7">
        <w:rPr>
          <w:rFonts w:ascii="Arial" w:hAnsi="Arial" w:cs="Arial"/>
          <w:sz w:val="16"/>
          <w:szCs w:val="16"/>
        </w:rPr>
        <w:t xml:space="preserve"> </w:t>
      </w:r>
      <w:r w:rsidRPr="00CE79D7">
        <w:rPr>
          <w:rFonts w:ascii="Arial" w:hAnsi="Arial" w:cs="Arial"/>
          <w:sz w:val="16"/>
          <w:szCs w:val="16"/>
        </w:rPr>
        <w:t>22</w:t>
      </w:r>
      <w:r w:rsidR="00CA6AA0" w:rsidRPr="00CE79D7">
        <w:rPr>
          <w:rFonts w:ascii="Arial" w:hAnsi="Arial" w:cs="Arial"/>
          <w:sz w:val="16"/>
          <w:szCs w:val="16"/>
        </w:rPr>
        <w:t>,</w:t>
      </w:r>
      <w:r w:rsidRPr="00CE79D7">
        <w:rPr>
          <w:rFonts w:ascii="Arial" w:hAnsi="Arial" w:cs="Arial"/>
          <w:sz w:val="16"/>
          <w:szCs w:val="16"/>
        </w:rPr>
        <w:t xml:space="preserve"> z późn. zm.)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37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1523"/>
        <w:gridCol w:w="398"/>
        <w:gridCol w:w="587"/>
        <w:gridCol w:w="631"/>
        <w:gridCol w:w="630"/>
        <w:gridCol w:w="631"/>
        <w:gridCol w:w="631"/>
        <w:gridCol w:w="630"/>
        <w:gridCol w:w="631"/>
        <w:gridCol w:w="630"/>
        <w:gridCol w:w="631"/>
        <w:gridCol w:w="631"/>
        <w:gridCol w:w="630"/>
        <w:gridCol w:w="631"/>
        <w:gridCol w:w="630"/>
        <w:gridCol w:w="631"/>
        <w:gridCol w:w="631"/>
        <w:gridCol w:w="630"/>
        <w:gridCol w:w="631"/>
        <w:gridCol w:w="631"/>
      </w:tblGrid>
      <w:tr w:rsidR="004E6E15" w:rsidRPr="00CE79D7" w:rsidTr="00C17FC2">
        <w:trPr>
          <w:cantSplit/>
          <w:trHeight w:hRule="exact" w:val="360"/>
        </w:trPr>
        <w:tc>
          <w:tcPr>
            <w:tcW w:w="2398" w:type="dxa"/>
            <w:gridSpan w:val="3"/>
            <w:vMerge w:val="restart"/>
            <w:vAlign w:val="center"/>
          </w:tcPr>
          <w:p w:rsidR="00DA6CC6" w:rsidRPr="00CD76A8" w:rsidRDefault="00DA6CC6">
            <w:pPr>
              <w:pStyle w:val="Nagwek6"/>
              <w:spacing w:line="140" w:lineRule="exact"/>
              <w:ind w:left="-28"/>
              <w:rPr>
                <w:rFonts w:cs="Arial"/>
                <w:b w:val="0"/>
                <w:sz w:val="14"/>
              </w:rPr>
            </w:pPr>
            <w:r w:rsidRPr="00BB4ACC">
              <w:rPr>
                <w:rFonts w:cs="Arial"/>
                <w:b w:val="0"/>
                <w:sz w:val="14"/>
              </w:rPr>
              <w:t>SPRAWY</w:t>
            </w:r>
          </w:p>
          <w:p w:rsidR="00DA6CC6" w:rsidRPr="00CE79D7" w:rsidRDefault="00C83BCD">
            <w:pPr>
              <w:spacing w:line="140" w:lineRule="exact"/>
              <w:jc w:val="center"/>
              <w:rPr>
                <w:rFonts w:ascii="Arial" w:hAnsi="Arial" w:cs="Arial"/>
                <w:sz w:val="14"/>
              </w:rPr>
            </w:pPr>
            <w:r w:rsidRPr="00CE79D7">
              <w:rPr>
                <w:rFonts w:ascii="Arial" w:hAnsi="Arial" w:cs="Arial"/>
                <w:sz w:val="14"/>
              </w:rPr>
              <w:t>z rep. K</w:t>
            </w:r>
          </w:p>
          <w:p w:rsidR="00DA6CC6" w:rsidRPr="00CE79D7" w:rsidRDefault="00DA6CC6">
            <w:pPr>
              <w:spacing w:line="140" w:lineRule="exact"/>
              <w:jc w:val="center"/>
              <w:rPr>
                <w:rFonts w:ascii="Arial" w:hAnsi="Arial" w:cs="Arial"/>
                <w:b/>
                <w:sz w:val="14"/>
              </w:rPr>
            </w:pPr>
          </w:p>
        </w:tc>
        <w:tc>
          <w:tcPr>
            <w:tcW w:w="11308" w:type="dxa"/>
            <w:gridSpan w:val="18"/>
            <w:vAlign w:val="center"/>
          </w:tcPr>
          <w:p w:rsidR="00DA6CC6" w:rsidRPr="00CE79D7" w:rsidRDefault="00DA6CC6">
            <w:pPr>
              <w:spacing w:after="80"/>
              <w:ind w:left="180"/>
              <w:jc w:val="center"/>
              <w:rPr>
                <w:rFonts w:ascii="Arial" w:hAnsi="Arial" w:cs="Arial"/>
                <w:sz w:val="14"/>
                <w:szCs w:val="14"/>
              </w:rPr>
            </w:pPr>
            <w:r w:rsidRPr="00CE79D7">
              <w:rPr>
                <w:rFonts w:ascii="Arial" w:hAnsi="Arial" w:cs="Arial"/>
                <w:sz w:val="14"/>
                <w:szCs w:val="14"/>
              </w:rPr>
              <w:t>Sprawy karne wielotomowe w tym wieloosobowe (nie dotyczy spraw o wyrok łączny)</w:t>
            </w:r>
          </w:p>
          <w:p w:rsidR="00DA6CC6" w:rsidRPr="00CE79D7" w:rsidRDefault="00DA6CC6">
            <w:pPr>
              <w:spacing w:line="120" w:lineRule="exact"/>
              <w:jc w:val="center"/>
              <w:rPr>
                <w:rFonts w:ascii="Arial" w:hAnsi="Arial" w:cs="Arial"/>
                <w:sz w:val="12"/>
                <w:szCs w:val="12"/>
              </w:rPr>
            </w:pPr>
          </w:p>
        </w:tc>
      </w:tr>
      <w:tr w:rsidR="004E6E15" w:rsidRPr="00CE79D7" w:rsidTr="00C17FC2">
        <w:trPr>
          <w:cantSplit/>
          <w:trHeight w:val="529"/>
        </w:trPr>
        <w:tc>
          <w:tcPr>
            <w:tcW w:w="2398" w:type="dxa"/>
            <w:gridSpan w:val="3"/>
            <w:vMerge/>
            <w:vAlign w:val="center"/>
          </w:tcPr>
          <w:p w:rsidR="00DA6CC6" w:rsidRPr="00CE79D7" w:rsidRDefault="00DA6CC6">
            <w:pPr>
              <w:spacing w:line="200" w:lineRule="exact"/>
              <w:rPr>
                <w:rFonts w:ascii="Arial" w:hAnsi="Arial" w:cs="Arial"/>
                <w:b/>
                <w:sz w:val="14"/>
              </w:rPr>
            </w:pPr>
          </w:p>
        </w:tc>
        <w:tc>
          <w:tcPr>
            <w:tcW w:w="1218" w:type="dxa"/>
            <w:gridSpan w:val="2"/>
            <w:vAlign w:val="center"/>
          </w:tcPr>
          <w:p w:rsidR="00DA6CC6" w:rsidRPr="00CE79D7" w:rsidRDefault="00C83BCD">
            <w:pPr>
              <w:spacing w:line="120" w:lineRule="exact"/>
              <w:jc w:val="center"/>
              <w:rPr>
                <w:rFonts w:ascii="Arial" w:hAnsi="Arial" w:cs="Arial"/>
                <w:sz w:val="12"/>
                <w:szCs w:val="12"/>
              </w:rPr>
            </w:pPr>
            <w:r w:rsidRPr="00CE79D7">
              <w:rPr>
                <w:rFonts w:ascii="Arial" w:hAnsi="Arial" w:cs="Arial"/>
                <w:sz w:val="12"/>
                <w:szCs w:val="12"/>
              </w:rPr>
              <w:t>razem</w:t>
            </w:r>
            <w:r w:rsidR="00DA6CC6" w:rsidRPr="00CE79D7">
              <w:rPr>
                <w:rFonts w:ascii="Arial" w:hAnsi="Arial" w:cs="Arial"/>
                <w:sz w:val="12"/>
                <w:szCs w:val="12"/>
              </w:rPr>
              <w:t xml:space="preserve"> pow. 5 tomów</w:t>
            </w:r>
          </w:p>
          <w:p w:rsidR="00DA6CC6" w:rsidRPr="00CE79D7" w:rsidRDefault="00DA6CC6">
            <w:pPr>
              <w:spacing w:line="120" w:lineRule="exact"/>
              <w:jc w:val="center"/>
              <w:rPr>
                <w:rFonts w:ascii="Arial" w:hAnsi="Arial" w:cs="Arial"/>
                <w:sz w:val="12"/>
                <w:szCs w:val="12"/>
              </w:rPr>
            </w:pP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5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10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20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do 30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pow. 30 do </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50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100 tomów</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100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200 tomów </w:t>
            </w:r>
          </w:p>
        </w:tc>
        <w:tc>
          <w:tcPr>
            <w:tcW w:w="1261"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pow. 200 do</w:t>
            </w:r>
          </w:p>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300 tomów</w:t>
            </w:r>
          </w:p>
        </w:tc>
        <w:tc>
          <w:tcPr>
            <w:tcW w:w="1262" w:type="dxa"/>
            <w:gridSpan w:val="2"/>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ponad 300 tomów</w:t>
            </w:r>
          </w:p>
        </w:tc>
      </w:tr>
      <w:tr w:rsidR="004E6E15" w:rsidRPr="00CE79D7" w:rsidTr="00C17FC2">
        <w:trPr>
          <w:cantSplit/>
          <w:trHeight w:val="1375"/>
        </w:trPr>
        <w:tc>
          <w:tcPr>
            <w:tcW w:w="2398" w:type="dxa"/>
            <w:gridSpan w:val="3"/>
            <w:vMerge/>
            <w:vAlign w:val="center"/>
          </w:tcPr>
          <w:p w:rsidR="00235B38" w:rsidRPr="00CE79D7" w:rsidRDefault="00235B38">
            <w:pPr>
              <w:spacing w:line="200" w:lineRule="exact"/>
              <w:rPr>
                <w:rFonts w:ascii="Arial" w:hAnsi="Arial" w:cs="Arial"/>
                <w:b/>
                <w:sz w:val="14"/>
              </w:rPr>
            </w:pPr>
          </w:p>
        </w:tc>
        <w:tc>
          <w:tcPr>
            <w:tcW w:w="587" w:type="dxa"/>
            <w:tcBorders>
              <w:bottom w:val="single" w:sz="4" w:space="0" w:color="auto"/>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 xml:space="preserve">liczba spraw </w:t>
            </w:r>
            <w:r w:rsidRPr="00CE79D7">
              <w:rPr>
                <w:rFonts w:ascii="Arial" w:hAnsi="Arial" w:cs="Arial"/>
                <w:b/>
                <w:sz w:val="12"/>
                <w:szCs w:val="12"/>
              </w:rPr>
              <w:br/>
              <w:t>(r.1 =r. 3+5+7+9+11+13+15+17)</w:t>
            </w:r>
          </w:p>
        </w:tc>
        <w:tc>
          <w:tcPr>
            <w:tcW w:w="631" w:type="dxa"/>
            <w:tcBorders>
              <w:right w:val="single" w:sz="4" w:space="0" w:color="auto"/>
            </w:tcBorders>
            <w:textDirection w:val="btLr"/>
            <w:vAlign w:val="center"/>
          </w:tcPr>
          <w:p w:rsidR="00235B38" w:rsidRPr="00CE79D7" w:rsidRDefault="00235B38" w:rsidP="0043241E">
            <w:pPr>
              <w:spacing w:line="120" w:lineRule="exact"/>
              <w:ind w:left="113" w:right="113"/>
              <w:jc w:val="center"/>
              <w:rPr>
                <w:rFonts w:ascii="Arial" w:hAnsi="Arial" w:cs="Arial"/>
                <w:b/>
                <w:sz w:val="12"/>
                <w:szCs w:val="12"/>
              </w:rPr>
            </w:pPr>
            <w:r w:rsidRPr="00CE79D7">
              <w:rPr>
                <w:rFonts w:ascii="Arial" w:hAnsi="Arial" w:cs="Arial"/>
                <w:b/>
                <w:sz w:val="12"/>
                <w:szCs w:val="12"/>
              </w:rPr>
              <w:t>w tym sprawy z co najmniej 5 oskarżonymi (r.2=r.4+6+8+10+12+14+16+18)</w:t>
            </w:r>
          </w:p>
        </w:tc>
        <w:tc>
          <w:tcPr>
            <w:tcW w:w="630" w:type="dxa"/>
            <w:tcBorders>
              <w:righ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cBorders>
              <w:left w:val="single" w:sz="4" w:space="0" w:color="auto"/>
            </w:tcBorders>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0"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liczba spraw</w:t>
            </w:r>
          </w:p>
        </w:tc>
        <w:tc>
          <w:tcPr>
            <w:tcW w:w="631" w:type="dxa"/>
            <w:textDirection w:val="btLr"/>
            <w:vAlign w:val="center"/>
          </w:tcPr>
          <w:p w:rsidR="00235B38" w:rsidRPr="00CE79D7" w:rsidRDefault="00235B38">
            <w:pPr>
              <w:spacing w:line="120" w:lineRule="exact"/>
              <w:ind w:left="113" w:right="113"/>
              <w:jc w:val="center"/>
              <w:rPr>
                <w:rFonts w:ascii="Arial" w:hAnsi="Arial" w:cs="Arial"/>
                <w:sz w:val="12"/>
                <w:szCs w:val="12"/>
              </w:rPr>
            </w:pPr>
            <w:r w:rsidRPr="00CE79D7">
              <w:rPr>
                <w:rFonts w:ascii="Arial" w:hAnsi="Arial" w:cs="Arial"/>
                <w:sz w:val="12"/>
                <w:szCs w:val="12"/>
              </w:rPr>
              <w:t>w tym sprawy z co najmniej 5 oskarżonymi</w:t>
            </w:r>
          </w:p>
        </w:tc>
      </w:tr>
      <w:tr w:rsidR="004E6E15" w:rsidRPr="00CE79D7" w:rsidTr="00C17FC2">
        <w:trPr>
          <w:cantSplit/>
          <w:trHeight w:hRule="exact" w:val="169"/>
        </w:trPr>
        <w:tc>
          <w:tcPr>
            <w:tcW w:w="2398" w:type="dxa"/>
            <w:gridSpan w:val="3"/>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587"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7</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8</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9</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10</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11</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12</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13</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14</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15</w:t>
            </w:r>
          </w:p>
        </w:tc>
        <w:tc>
          <w:tcPr>
            <w:tcW w:w="630"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16</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17</w:t>
            </w:r>
          </w:p>
        </w:tc>
        <w:tc>
          <w:tcPr>
            <w:tcW w:w="631" w:type="dxa"/>
            <w:tcBorders>
              <w:bottom w:val="single" w:sz="12" w:space="0" w:color="auto"/>
            </w:tcBorders>
            <w:vAlign w:val="center"/>
          </w:tcPr>
          <w:p w:rsidR="00DA6CC6" w:rsidRPr="00CE79D7" w:rsidRDefault="00DA6CC6">
            <w:pPr>
              <w:spacing w:line="120" w:lineRule="exact"/>
              <w:jc w:val="center"/>
              <w:rPr>
                <w:rFonts w:ascii="Arial" w:hAnsi="Arial" w:cs="Arial"/>
                <w:sz w:val="12"/>
                <w:szCs w:val="12"/>
              </w:rPr>
            </w:pPr>
            <w:r w:rsidRPr="00CE79D7">
              <w:rPr>
                <w:rFonts w:ascii="Arial" w:hAnsi="Arial" w:cs="Arial"/>
                <w:sz w:val="12"/>
                <w:szCs w:val="12"/>
              </w:rPr>
              <w:t>18</w:t>
            </w:r>
          </w:p>
        </w:tc>
      </w:tr>
      <w:tr w:rsidR="004E6E15" w:rsidRPr="00CE79D7" w:rsidTr="00FD415F">
        <w:trPr>
          <w:cantSplit/>
          <w:trHeight w:val="170"/>
        </w:trPr>
        <w:tc>
          <w:tcPr>
            <w:tcW w:w="477" w:type="dxa"/>
            <w:vMerge w:val="restart"/>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K</w:t>
            </w:r>
          </w:p>
        </w:tc>
        <w:tc>
          <w:tcPr>
            <w:tcW w:w="1523" w:type="dxa"/>
            <w:tcBorders>
              <w:right w:val="single" w:sz="18" w:space="0" w:color="auto"/>
            </w:tcBorders>
            <w:vAlign w:val="center"/>
          </w:tcPr>
          <w:p w:rsidR="002C4CF9" w:rsidRPr="00CE79D7" w:rsidRDefault="00473FAF">
            <w:pPr>
              <w:spacing w:after="20" w:line="120" w:lineRule="exact"/>
              <w:ind w:left="85" w:right="85"/>
              <w:rPr>
                <w:rFonts w:ascii="Arial" w:hAnsi="Arial" w:cs="Arial"/>
                <w:sz w:val="12"/>
              </w:rPr>
            </w:pPr>
            <w:r>
              <w:rPr>
                <w:rFonts w:ascii="Arial" w:hAnsi="Arial" w:cs="Arial"/>
                <w:sz w:val="12"/>
              </w:rPr>
              <w:t>pozostało z ubiegłego roku</w:t>
            </w:r>
          </w:p>
        </w:tc>
        <w:tc>
          <w:tcPr>
            <w:tcW w:w="398" w:type="dxa"/>
            <w:tcBorders>
              <w:top w:val="single" w:sz="18" w:space="0" w:color="auto"/>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01</w:t>
            </w:r>
          </w:p>
        </w:tc>
        <w:tc>
          <w:tcPr>
            <w:tcW w:w="587"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7</w:t>
            </w:r>
          </w:p>
        </w:tc>
        <w:tc>
          <w:tcPr>
            <w:tcW w:w="631"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5</w:t>
            </w:r>
          </w:p>
        </w:tc>
        <w:tc>
          <w:tcPr>
            <w:tcW w:w="631" w:type="dxa"/>
            <w:tcBorders>
              <w:top w:val="single" w:sz="18" w:space="0" w:color="auto"/>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top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top w:val="single" w:sz="18" w:space="0" w:color="auto"/>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F97A41">
            <w:pPr>
              <w:spacing w:after="20" w:line="120" w:lineRule="exact"/>
              <w:ind w:left="85" w:right="85"/>
              <w:rPr>
                <w:rFonts w:ascii="Arial" w:hAnsi="Arial" w:cs="Arial"/>
                <w:sz w:val="12"/>
              </w:rPr>
            </w:pPr>
            <w:r w:rsidRPr="00CE79D7">
              <w:rPr>
                <w:rFonts w:ascii="Arial" w:hAnsi="Arial" w:cs="Arial"/>
                <w:sz w:val="12"/>
              </w:rPr>
              <w:t>wpływ w okresie sprawozdawczym</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a)</w:t>
            </w:r>
            <w:r w:rsidR="002C4CF9" w:rsidRPr="00CE79D7">
              <w:rPr>
                <w:rFonts w:ascii="Arial" w:hAnsi="Arial" w:cs="Arial"/>
                <w:sz w:val="14"/>
                <w:szCs w:val="14"/>
              </w:rPr>
              <w:t>3</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 tym wpływ spraw w wyniku wyłączenia sprawy oskarżonego</w:t>
            </w:r>
          </w:p>
        </w:tc>
        <w:tc>
          <w:tcPr>
            <w:tcW w:w="398" w:type="dxa"/>
            <w:tcBorders>
              <w:left w:val="single" w:sz="18" w:space="0" w:color="auto"/>
              <w:right w:val="single" w:sz="4" w:space="0" w:color="auto"/>
            </w:tcBorders>
            <w:vAlign w:val="center"/>
          </w:tcPr>
          <w:p w:rsidR="002C4CF9" w:rsidRPr="00CE79D7" w:rsidRDefault="002C4CF9" w:rsidP="006909AA">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Wpływ spraw w wyniku przekazania z innego sądu w trybie art.35,36,37 kpk oraz art.11a przepisów wprowadzających kpk</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załatwienie w okresie sprawozdawczym</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587" w:type="dxa"/>
            <w:tcBorders>
              <w:left w:val="single" w:sz="4"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b)</w:t>
            </w:r>
            <w:r w:rsidR="002C4CF9" w:rsidRPr="00CE79D7">
              <w:rPr>
                <w:rFonts w:ascii="Arial" w:hAnsi="Arial" w:cs="Arial"/>
                <w:sz w:val="14"/>
                <w:szCs w:val="14"/>
              </w:rPr>
              <w:t>5</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3</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2</w:t>
            </w: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rsidP="009C3E62">
            <w:pPr>
              <w:spacing w:after="20" w:line="120" w:lineRule="exact"/>
              <w:ind w:left="195" w:right="85"/>
              <w:rPr>
                <w:rFonts w:ascii="Arial" w:hAnsi="Arial" w:cs="Arial"/>
                <w:sz w:val="12"/>
              </w:rPr>
            </w:pPr>
            <w:r w:rsidRPr="00CE79D7">
              <w:rPr>
                <w:rFonts w:ascii="Arial" w:hAnsi="Arial" w:cs="Arial"/>
                <w:sz w:val="12"/>
              </w:rPr>
              <w:t>w tym załatwienie w wyniku przekazania do innej jednostki</w:t>
            </w:r>
          </w:p>
        </w:tc>
        <w:tc>
          <w:tcPr>
            <w:tcW w:w="398" w:type="dxa"/>
            <w:tcBorders>
              <w:left w:val="single" w:sz="18" w:space="0" w:color="auto"/>
              <w:right w:val="single" w:sz="4" w:space="0" w:color="auto"/>
            </w:tcBorders>
            <w:vAlign w:val="center"/>
          </w:tcPr>
          <w:p w:rsidR="002C4CF9" w:rsidRPr="00CE79D7" w:rsidRDefault="002C4CF9" w:rsidP="00E876AD">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587"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1</w:t>
            </w:r>
          </w:p>
        </w:tc>
        <w:tc>
          <w:tcPr>
            <w:tcW w:w="631" w:type="dxa"/>
            <w:tcBorders>
              <w:lef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1" w:type="dxa"/>
            <w:vAlign w:val="bottom"/>
          </w:tcPr>
          <w:p w:rsidR="002C4CF9" w:rsidRPr="00CE79D7" w:rsidRDefault="002C4CF9" w:rsidP="002C4CF9">
            <w:pPr>
              <w:jc w:val="right"/>
              <w:rPr>
                <w:rFonts w:ascii="Arial" w:hAnsi="Arial" w:cs="Arial"/>
                <w:sz w:val="14"/>
                <w:szCs w:val="14"/>
              </w:rPr>
            </w:pPr>
          </w:p>
        </w:tc>
        <w:tc>
          <w:tcPr>
            <w:tcW w:w="630" w:type="dxa"/>
            <w:vAlign w:val="bottom"/>
          </w:tcPr>
          <w:p w:rsidR="002C4CF9" w:rsidRPr="00CE79D7" w:rsidRDefault="002C4CF9" w:rsidP="002C4CF9">
            <w:pPr>
              <w:jc w:val="right"/>
              <w:rPr>
                <w:rFonts w:ascii="Arial" w:hAnsi="Arial" w:cs="Arial"/>
                <w:sz w:val="14"/>
                <w:szCs w:val="14"/>
              </w:rPr>
            </w:pPr>
          </w:p>
        </w:tc>
        <w:tc>
          <w:tcPr>
            <w:tcW w:w="631" w:type="dxa"/>
            <w:tcBorders>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170"/>
        </w:trPr>
        <w:tc>
          <w:tcPr>
            <w:tcW w:w="477" w:type="dxa"/>
            <w:vMerge/>
            <w:vAlign w:val="center"/>
          </w:tcPr>
          <w:p w:rsidR="002C4CF9" w:rsidRPr="00CE79D7" w:rsidRDefault="002C4CF9">
            <w:pPr>
              <w:spacing w:after="20" w:line="120" w:lineRule="exact"/>
              <w:ind w:left="85" w:right="85"/>
              <w:rPr>
                <w:rFonts w:ascii="Arial" w:hAnsi="Arial" w:cs="Arial"/>
                <w:sz w:val="12"/>
              </w:rPr>
            </w:pPr>
          </w:p>
        </w:tc>
        <w:tc>
          <w:tcPr>
            <w:tcW w:w="1523" w:type="dxa"/>
            <w:tcBorders>
              <w:right w:val="single" w:sz="18" w:space="0" w:color="auto"/>
            </w:tcBorders>
            <w:vAlign w:val="center"/>
          </w:tcPr>
          <w:p w:rsidR="002C4CF9" w:rsidRPr="00CE79D7" w:rsidRDefault="002C4CF9">
            <w:pPr>
              <w:spacing w:after="20" w:line="120" w:lineRule="exact"/>
              <w:ind w:left="85" w:right="85"/>
              <w:rPr>
                <w:rFonts w:ascii="Arial" w:hAnsi="Arial" w:cs="Arial"/>
                <w:sz w:val="12"/>
              </w:rPr>
            </w:pPr>
            <w:r w:rsidRPr="00CE79D7">
              <w:rPr>
                <w:rFonts w:ascii="Arial" w:hAnsi="Arial" w:cs="Arial"/>
                <w:sz w:val="12"/>
              </w:rPr>
              <w:t>pozostało na następny okres sprawozdawczy</w:t>
            </w:r>
          </w:p>
        </w:tc>
        <w:tc>
          <w:tcPr>
            <w:tcW w:w="398" w:type="dxa"/>
            <w:tcBorders>
              <w:left w:val="single" w:sz="18" w:space="0" w:color="auto"/>
              <w:bottom w:val="single" w:sz="18" w:space="0" w:color="auto"/>
              <w:right w:val="single" w:sz="4" w:space="0" w:color="auto"/>
            </w:tcBorders>
            <w:vAlign w:val="center"/>
          </w:tcPr>
          <w:p w:rsidR="002C4CF9" w:rsidRPr="00CE79D7" w:rsidRDefault="002C4CF9">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587" w:type="dxa"/>
            <w:tcBorders>
              <w:left w:val="single" w:sz="4" w:space="0" w:color="auto"/>
              <w:bottom w:val="single" w:sz="18" w:space="0" w:color="auto"/>
              <w:right w:val="single" w:sz="4" w:space="0" w:color="auto"/>
            </w:tcBorders>
            <w:vAlign w:val="bottom"/>
          </w:tcPr>
          <w:p w:rsidR="002C4CF9" w:rsidRPr="00CE79D7" w:rsidRDefault="00C17FC2" w:rsidP="002C4CF9">
            <w:pPr>
              <w:jc w:val="right"/>
              <w:rPr>
                <w:rFonts w:ascii="Arial" w:hAnsi="Arial" w:cs="Arial"/>
                <w:sz w:val="14"/>
                <w:szCs w:val="14"/>
              </w:rPr>
            </w:pPr>
            <w:r>
              <w:rPr>
                <w:rFonts w:ascii="Arial" w:hAnsi="Arial" w:cs="Arial"/>
                <w:sz w:val="14"/>
                <w:szCs w:val="14"/>
              </w:rPr>
              <w:t>c)</w:t>
            </w:r>
            <w:r w:rsidR="002C4CF9" w:rsidRPr="00CE79D7">
              <w:rPr>
                <w:rFonts w:ascii="Arial" w:hAnsi="Arial" w:cs="Arial"/>
                <w:sz w:val="14"/>
                <w:szCs w:val="14"/>
              </w:rPr>
              <w:t>5</w:t>
            </w:r>
          </w:p>
        </w:tc>
        <w:tc>
          <w:tcPr>
            <w:tcW w:w="631"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0" w:type="dxa"/>
            <w:tcBorders>
              <w:left w:val="single" w:sz="4" w:space="0" w:color="auto"/>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r w:rsidRPr="00CE79D7">
              <w:rPr>
                <w:rFonts w:ascii="Arial" w:hAnsi="Arial" w:cs="Arial"/>
                <w:sz w:val="14"/>
                <w:szCs w:val="14"/>
              </w:rPr>
              <w:t>5</w:t>
            </w:r>
          </w:p>
        </w:tc>
        <w:tc>
          <w:tcPr>
            <w:tcW w:w="631" w:type="dxa"/>
            <w:tcBorders>
              <w:left w:val="single" w:sz="4" w:space="0" w:color="auto"/>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0" w:type="dxa"/>
            <w:tcBorders>
              <w:bottom w:val="single" w:sz="18" w:space="0" w:color="auto"/>
            </w:tcBorders>
            <w:vAlign w:val="bottom"/>
          </w:tcPr>
          <w:p w:rsidR="002C4CF9" w:rsidRPr="00CE79D7" w:rsidRDefault="002C4CF9" w:rsidP="002C4CF9">
            <w:pPr>
              <w:jc w:val="right"/>
              <w:rPr>
                <w:rFonts w:ascii="Arial" w:hAnsi="Arial" w:cs="Arial"/>
                <w:sz w:val="14"/>
                <w:szCs w:val="14"/>
              </w:rPr>
            </w:pPr>
          </w:p>
        </w:tc>
        <w:tc>
          <w:tcPr>
            <w:tcW w:w="631" w:type="dxa"/>
            <w:tcBorders>
              <w:bottom w:val="single" w:sz="18" w:space="0" w:color="auto"/>
              <w:right w:val="single" w:sz="4" w:space="0" w:color="auto"/>
            </w:tcBorders>
            <w:vAlign w:val="bottom"/>
          </w:tcPr>
          <w:p w:rsidR="002C4CF9" w:rsidRPr="00CE79D7" w:rsidRDefault="002C4CF9" w:rsidP="002C4CF9">
            <w:pPr>
              <w:jc w:val="right"/>
              <w:rPr>
                <w:rFonts w:ascii="Arial" w:hAnsi="Arial" w:cs="Arial"/>
                <w:sz w:val="14"/>
                <w:szCs w:val="14"/>
              </w:rPr>
            </w:pPr>
          </w:p>
        </w:tc>
        <w:tc>
          <w:tcPr>
            <w:tcW w:w="631" w:type="dxa"/>
            <w:tcBorders>
              <w:left w:val="single" w:sz="4"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9</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12</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4</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48</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46</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27</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25</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w:t>
            </w: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8</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8</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13</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29</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19</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20</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14</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rsidR="00076548" w:rsidRDefault="00076548">
            <w:pPr>
              <w:jc w:val="right"/>
              <w:rPr>
                <w:rFonts w:ascii="Arial" w:hAnsi="Arial" w:cs="Arial"/>
                <w:color w:val="000000"/>
                <w:sz w:val="14"/>
                <w:szCs w:val="14"/>
              </w:rPr>
            </w:pP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260" w:type="dxa"/>
            <w:shd w:val="clear" w:color="auto" w:fill="auto"/>
            <w:vAlign w:val="center"/>
          </w:tcPr>
          <w:p w:rsidR="00076548" w:rsidRDefault="00076548">
            <w:pPr>
              <w:jc w:val="right"/>
              <w:rPr>
                <w:rFonts w:ascii="Arial" w:hAnsi="Arial" w:cs="Arial"/>
                <w:color w:val="000000"/>
                <w:sz w:val="14"/>
                <w:szCs w:val="14"/>
              </w:rPr>
            </w:pP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41723A" w:rsidRPr="00BD1A5F" w:rsidTr="00265F5B">
        <w:trPr>
          <w:trHeight w:val="563"/>
        </w:trPr>
        <w:tc>
          <w:tcPr>
            <w:tcW w:w="2100" w:type="dxa"/>
            <w:gridSpan w:val="2"/>
            <w:vMerge w:val="restart"/>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Postanowienia o przyznaniu wynagrodzenia</w:t>
            </w:r>
          </w:p>
          <w:p w:rsidR="0041723A" w:rsidRPr="00BD1A5F" w:rsidRDefault="0041723A" w:rsidP="00265F5B">
            <w:pPr>
              <w:jc w:val="center"/>
              <w:rPr>
                <w:rFonts w:ascii="Arial" w:hAnsi="Arial" w:cs="Arial"/>
                <w:sz w:val="16"/>
                <w:szCs w:val="16"/>
              </w:rPr>
            </w:pPr>
            <w:r w:rsidRPr="00BD1A5F">
              <w:rPr>
                <w:rFonts w:ascii="Arial" w:hAnsi="Arial" w:cs="Arial"/>
                <w:sz w:val="16"/>
                <w:szCs w:val="16"/>
              </w:rPr>
              <w:t>wg czasu od złożenia rachunku</w:t>
            </w:r>
          </w:p>
        </w:tc>
        <w:tc>
          <w:tcPr>
            <w:tcW w:w="4080" w:type="dxa"/>
            <w:gridSpan w:val="4"/>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375"/>
        </w:trPr>
        <w:tc>
          <w:tcPr>
            <w:tcW w:w="2100" w:type="dxa"/>
            <w:gridSpan w:val="2"/>
            <w:vMerge/>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(kol.2-4)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 14 do 30 dni</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 6-8)</w:t>
            </w:r>
          </w:p>
        </w:tc>
        <w:tc>
          <w:tcPr>
            <w:tcW w:w="90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102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pow.14 do 30 dni</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r>
      <w:tr w:rsidR="0041723A" w:rsidRPr="00BD1A5F" w:rsidTr="00265F5B">
        <w:trPr>
          <w:trHeight w:val="116"/>
        </w:trPr>
        <w:tc>
          <w:tcPr>
            <w:tcW w:w="2100" w:type="dxa"/>
            <w:gridSpan w:val="2"/>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0</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1</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2</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3</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02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525CE6" w:rsidRPr="00BD1A5F" w:rsidTr="001044E1">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49</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20</w:t>
            </w:r>
          </w:p>
        </w:tc>
        <w:tc>
          <w:tcPr>
            <w:tcW w:w="972"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12</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51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47</w:t>
            </w:r>
          </w:p>
        </w:tc>
        <w:tc>
          <w:tcPr>
            <w:tcW w:w="102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80" w:type="dxa"/>
            <w:tcBorders>
              <w:top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w:t>
            </w:r>
          </w:p>
        </w:tc>
      </w:tr>
      <w:tr w:rsidR="00525CE6" w:rsidRPr="00BD1A5F" w:rsidTr="001044E1">
        <w:trPr>
          <w:trHeight w:val="20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K</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02</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26</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10</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9</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28</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24</w:t>
            </w:r>
          </w:p>
        </w:tc>
        <w:tc>
          <w:tcPr>
            <w:tcW w:w="1020" w:type="dxa"/>
            <w:shd w:val="clear" w:color="auto" w:fill="auto"/>
            <w:vAlign w:val="center"/>
          </w:tcPr>
          <w:p w:rsidR="00525CE6" w:rsidRDefault="00525CE6">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w:t>
            </w:r>
          </w:p>
        </w:tc>
      </w:tr>
      <w:tr w:rsidR="00525CE6" w:rsidRPr="00BD1A5F" w:rsidTr="001044E1">
        <w:trPr>
          <w:trHeight w:val="173"/>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W</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03</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20" w:type="dxa"/>
            <w:shd w:val="clear" w:color="auto" w:fill="auto"/>
            <w:vAlign w:val="center"/>
          </w:tcPr>
          <w:p w:rsidR="00525CE6" w:rsidRDefault="00525CE6">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r w:rsidR="00525CE6" w:rsidRPr="00BD1A5F" w:rsidTr="001044E1">
        <w:trPr>
          <w:trHeight w:val="15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04</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16</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8</w:t>
            </w:r>
          </w:p>
        </w:tc>
        <w:tc>
          <w:tcPr>
            <w:tcW w:w="972"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16</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16</w:t>
            </w:r>
          </w:p>
        </w:tc>
        <w:tc>
          <w:tcPr>
            <w:tcW w:w="102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   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28</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22</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16</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5</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20</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250"/>
        <w:tblW w:w="9463"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1134"/>
        <w:gridCol w:w="1984"/>
      </w:tblGrid>
      <w:tr w:rsidR="0041723A" w:rsidRPr="00BD1A5F" w:rsidTr="00265F5B">
        <w:trPr>
          <w:trHeight w:val="494"/>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Postanowienia o przyznaniu wynagrodzenia wg czasu od złożenia rachunku</w:t>
            </w:r>
          </w:p>
        </w:tc>
        <w:tc>
          <w:tcPr>
            <w:tcW w:w="53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43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w:t>
            </w:r>
          </w:p>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r>
      <w:tr w:rsidR="0041723A" w:rsidRPr="00BD1A5F" w:rsidTr="00265F5B">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8</w:t>
            </w:r>
          </w:p>
        </w:tc>
      </w:tr>
      <w:tr w:rsidR="00054D3A" w:rsidRPr="00BD1A5F" w:rsidTr="00265F5B">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26</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14</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26</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25</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r>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AE4930" w:rsidRPr="00CE79D7" w:rsidRDefault="00EC48DE" w:rsidP="00AE4930">
      <w:pPr>
        <w:pStyle w:val="style20"/>
        <w:rPr>
          <w:rStyle w:val="fontstyle38"/>
          <w:b/>
        </w:rPr>
      </w:pPr>
      <w:r>
        <w:rPr>
          <w:rFonts w:ascii="Arial" w:hAnsi="Arial" w:cs="Arial"/>
          <w:b/>
          <w:bCs/>
        </w:rPr>
        <w:t>Dział 13</w:t>
      </w:r>
      <w:r w:rsidR="00AE4930" w:rsidRPr="00CE79D7">
        <w:rPr>
          <w:rFonts w:ascii="Arial" w:hAnsi="Arial" w:cs="Arial"/>
          <w:b/>
          <w:bCs/>
        </w:rPr>
        <w:t xml:space="preserve">. </w:t>
      </w:r>
      <w:r w:rsidR="00AE4930"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500</w:t>
            </w:r>
          </w:p>
        </w:tc>
      </w:tr>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100</w:t>
            </w:r>
          </w:p>
        </w:tc>
      </w:tr>
    </w:tbl>
    <w:p w:rsidR="00AE4930" w:rsidRPr="00CE79D7" w:rsidRDefault="00565DAB"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5558155</wp:posOffset>
                </wp:positionH>
                <wp:positionV relativeFrom="paragraph">
                  <wp:posOffset>-511175</wp:posOffset>
                </wp:positionV>
                <wp:extent cx="4686300" cy="1943100"/>
                <wp:effectExtent l="0" t="3810" r="1905"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1918" w:rsidRDefault="00A51918" w:rsidP="00AE4930">
                            <w:pPr>
                              <w:spacing w:line="220" w:lineRule="exact"/>
                              <w:rPr>
                                <w:rFonts w:ascii="Arial" w:hAnsi="Arial"/>
                                <w:color w:val="000000"/>
                                <w:sz w:val="18"/>
                              </w:rPr>
                            </w:pPr>
                            <w:r>
                              <w:rPr>
                                <w:rFonts w:ascii="Arial" w:hAnsi="Arial"/>
                                <w:color w:val="000000"/>
                                <w:sz w:val="18"/>
                              </w:rPr>
                              <w:t>Wyjaśnienia dotyczące sprawozdania można</w:t>
                            </w:r>
                          </w:p>
                          <w:p w:rsidR="00A51918" w:rsidRDefault="00A51918" w:rsidP="00AE4930">
                            <w:pPr>
                              <w:spacing w:line="220" w:lineRule="exact"/>
                              <w:rPr>
                                <w:rFonts w:ascii="Arial" w:hAnsi="Arial"/>
                                <w:color w:val="000000"/>
                                <w:sz w:val="18"/>
                              </w:rPr>
                            </w:pPr>
                            <w:r>
                              <w:rPr>
                                <w:rFonts w:ascii="Arial" w:hAnsi="Arial"/>
                                <w:color w:val="000000"/>
                                <w:sz w:val="18"/>
                              </w:rPr>
                              <w:t>uzyskać pod numerem telefonu</w:t>
                            </w:r>
                          </w:p>
                          <w:p w:rsidR="00A51918" w:rsidRDefault="00A51918" w:rsidP="00AE4930">
                            <w:pPr>
                              <w:spacing w:line="220" w:lineRule="exact"/>
                              <w:rPr>
                                <w:rFonts w:ascii="Arial" w:hAnsi="Arial"/>
                                <w:color w:val="000000"/>
                                <w:sz w:val="18"/>
                              </w:rPr>
                            </w:pPr>
                          </w:p>
                          <w:p w:rsidR="00A51918" w:rsidRDefault="00A51918" w:rsidP="00AE4930">
                            <w:pPr>
                              <w:spacing w:line="220" w:lineRule="exact"/>
                              <w:rPr>
                                <w:rFonts w:ascii="Arial" w:hAnsi="Arial"/>
                                <w:color w:val="000000"/>
                                <w:sz w:val="18"/>
                              </w:rPr>
                            </w:pPr>
                            <w:r>
                              <w:t>...........................................</w:t>
                            </w:r>
                            <w:r>
                              <w:rPr>
                                <w:rFonts w:ascii="Arial PL" w:hAnsi="Arial PL"/>
                                <w:sz w:val="12"/>
                              </w:rPr>
                              <w:t xml:space="preserve">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pieczątka i podpis osoby sporządzającej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51918" w:rsidRDefault="00A51918" w:rsidP="00AE4930"/>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xml:space="preserve"> .......................................................................                       .................................................................................................................</w:t>
                            </w:r>
                          </w:p>
                          <w:p w:rsidR="00A51918" w:rsidRDefault="00A51918" w:rsidP="00AE4930">
                            <w:pPr>
                              <w:rPr>
                                <w:rFonts w:ascii="Arial PL" w:hAnsi="Arial PL"/>
                                <w:sz w:val="10"/>
                              </w:rPr>
                            </w:pPr>
                            <w:r>
                              <w:rPr>
                                <w:rFonts w:ascii="Arial PL" w:hAnsi="Arial PL"/>
                                <w:sz w:val="10"/>
                              </w:rPr>
                              <w:t xml:space="preserve">                             (miejscowość i data)                                                                                 pieczątka i podpis prezesa sądu*</w:t>
                            </w:r>
                          </w:p>
                          <w:p w:rsidR="00A51918" w:rsidRPr="000A1EA4" w:rsidRDefault="00A51918" w:rsidP="000A1EA4">
                            <w:r w:rsidRPr="000A1EA4">
                              <w:rPr>
                                <w:rFonts w:ascii="TimesNewRomanPSMT" w:hAnsi="TimesNewRomanPSMT" w:cs="TimesNewRomanPSMT"/>
                                <w:sz w:val="14"/>
                                <w:szCs w:val="14"/>
                              </w:rPr>
                              <w:t>*Wymóg opatrzenia pieczęcią dotyczy wyłącznie sprawozdania wnoszonego w postaci papierowej.</w:t>
                            </w:r>
                          </w:p>
                          <w:p w:rsidR="00A51918" w:rsidRPr="000A1EA4" w:rsidRDefault="00A51918" w:rsidP="00AE4930">
                            <w:pPr>
                              <w:rPr>
                                <w:rFonts w:ascii="Arial PL" w:hAnsi="Arial PL"/>
                                <w:sz w:val="10"/>
                              </w:rPr>
                            </w:pPr>
                          </w:p>
                          <w:p w:rsidR="00A51918" w:rsidRDefault="00A51918" w:rsidP="00AE4930"/>
                          <w:p w:rsidR="00A51918" w:rsidRDefault="00A519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37.65pt;margin-top:-40.25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vLp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" filled="f" stroked="f">
                <v:textbox>
                  <w:txbxContent>
                    <w:p w:rsidR="00A51918" w:rsidRDefault="00A51918" w:rsidP="00AE4930">
                      <w:pPr>
                        <w:spacing w:line="220" w:lineRule="exact"/>
                        <w:rPr>
                          <w:rFonts w:ascii="Arial" w:hAnsi="Arial"/>
                          <w:color w:val="000000"/>
                          <w:sz w:val="18"/>
                        </w:rPr>
                      </w:pPr>
                      <w:r>
                        <w:rPr>
                          <w:rFonts w:ascii="Arial" w:hAnsi="Arial"/>
                          <w:color w:val="000000"/>
                          <w:sz w:val="18"/>
                        </w:rPr>
                        <w:t>Wyjaśnienia dotyczące sprawozdania można</w:t>
                      </w:r>
                    </w:p>
                    <w:p w:rsidR="00A51918" w:rsidRDefault="00A51918" w:rsidP="00AE4930">
                      <w:pPr>
                        <w:spacing w:line="220" w:lineRule="exact"/>
                        <w:rPr>
                          <w:rFonts w:ascii="Arial" w:hAnsi="Arial"/>
                          <w:color w:val="000000"/>
                          <w:sz w:val="18"/>
                        </w:rPr>
                      </w:pPr>
                      <w:r>
                        <w:rPr>
                          <w:rFonts w:ascii="Arial" w:hAnsi="Arial"/>
                          <w:color w:val="000000"/>
                          <w:sz w:val="18"/>
                        </w:rPr>
                        <w:t>uzyskać pod numerem telefonu</w:t>
                      </w:r>
                    </w:p>
                    <w:p w:rsidR="00A51918" w:rsidRDefault="00A51918" w:rsidP="00AE4930">
                      <w:pPr>
                        <w:spacing w:line="220" w:lineRule="exact"/>
                        <w:rPr>
                          <w:rFonts w:ascii="Arial" w:hAnsi="Arial"/>
                          <w:color w:val="000000"/>
                          <w:sz w:val="18"/>
                        </w:rPr>
                      </w:pPr>
                    </w:p>
                    <w:p w:rsidR="00A51918" w:rsidRDefault="00A51918" w:rsidP="00AE4930">
                      <w:pPr>
                        <w:spacing w:line="220" w:lineRule="exact"/>
                        <w:rPr>
                          <w:rFonts w:ascii="Arial" w:hAnsi="Arial"/>
                          <w:color w:val="000000"/>
                          <w:sz w:val="18"/>
                        </w:rPr>
                      </w:pPr>
                      <w:r>
                        <w:t>...........................................</w:t>
                      </w:r>
                      <w:r>
                        <w:rPr>
                          <w:rFonts w:ascii="Arial PL" w:hAnsi="Arial PL"/>
                          <w:sz w:val="12"/>
                        </w:rPr>
                        <w:t xml:space="preserve">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pieczątka i podpis osoby sporządzającej </w:t>
                      </w: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w:t>
                      </w:r>
                    </w:p>
                    <w:p w:rsidR="00A51918" w:rsidRDefault="00A51918"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A51918" w:rsidRDefault="00A51918" w:rsidP="00AE4930"/>
                    <w:p w:rsidR="00A51918" w:rsidRDefault="00A51918" w:rsidP="00AE4930">
                      <w:pPr>
                        <w:rPr>
                          <w:rFonts w:ascii="Arial PL" w:hAnsi="Arial PL"/>
                          <w:sz w:val="12"/>
                        </w:rPr>
                      </w:pPr>
                    </w:p>
                    <w:p w:rsidR="00A51918" w:rsidRDefault="00A51918" w:rsidP="00AE4930">
                      <w:pPr>
                        <w:rPr>
                          <w:rFonts w:ascii="Arial PL" w:hAnsi="Arial PL"/>
                          <w:sz w:val="12"/>
                        </w:rPr>
                      </w:pPr>
                      <w:r>
                        <w:rPr>
                          <w:rFonts w:ascii="Arial PL" w:hAnsi="Arial PL"/>
                          <w:sz w:val="12"/>
                        </w:rPr>
                        <w:t xml:space="preserve"> .......................................................................                       .................................................................................................................</w:t>
                      </w:r>
                    </w:p>
                    <w:p w:rsidR="00A51918" w:rsidRDefault="00A51918" w:rsidP="00AE4930">
                      <w:pPr>
                        <w:rPr>
                          <w:rFonts w:ascii="Arial PL" w:hAnsi="Arial PL"/>
                          <w:sz w:val="10"/>
                        </w:rPr>
                      </w:pPr>
                      <w:r>
                        <w:rPr>
                          <w:rFonts w:ascii="Arial PL" w:hAnsi="Arial PL"/>
                          <w:sz w:val="10"/>
                        </w:rPr>
                        <w:t xml:space="preserve">                             (miejscowość i data)                                                                                 pieczątka i podpis prezesa sądu*</w:t>
                      </w:r>
                    </w:p>
                    <w:p w:rsidR="00A51918" w:rsidRPr="000A1EA4" w:rsidRDefault="00A51918" w:rsidP="000A1EA4">
                      <w:r w:rsidRPr="000A1EA4">
                        <w:rPr>
                          <w:rFonts w:ascii="TimesNewRomanPSMT" w:hAnsi="TimesNewRomanPSMT" w:cs="TimesNewRomanPSMT"/>
                          <w:sz w:val="14"/>
                          <w:szCs w:val="14"/>
                        </w:rPr>
                        <w:t>*Wymóg opatrzenia pieczęcią dotyczy wyłącznie sprawozdania wnoszonego w postaci papierowej.</w:t>
                      </w:r>
                    </w:p>
                    <w:p w:rsidR="00A51918" w:rsidRPr="000A1EA4" w:rsidRDefault="00A51918" w:rsidP="00AE4930">
                      <w:pPr>
                        <w:rPr>
                          <w:rFonts w:ascii="Arial PL" w:hAnsi="Arial PL"/>
                          <w:sz w:val="10"/>
                        </w:rPr>
                      </w:pPr>
                    </w:p>
                    <w:p w:rsidR="00A51918" w:rsidRDefault="00A51918" w:rsidP="00AE4930"/>
                    <w:p w:rsidR="00A51918" w:rsidRDefault="00A51918"/>
                  </w:txbxContent>
                </v:textbox>
              </v:shape>
            </w:pict>
          </mc:Fallback>
        </mc:AlternateConten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Do ewidencji spraw ogółem (wiersz 01) nie wlicza się spraw Med. W sprawach Ko wykazuje się sprawy nie tylko na wniosek stron, ale także podejmowane z urzędu.</w:t>
      </w:r>
    </w:p>
    <w:p w:rsidR="00235EB1" w:rsidRPr="00235EB1" w:rsidRDefault="00235EB1" w:rsidP="00235EB1">
      <w:pPr>
        <w:rPr>
          <w:rFonts w:ascii="Arial" w:hAnsi="Arial" w:cs="Arial"/>
          <w:sz w:val="20"/>
          <w:szCs w:val="20"/>
        </w:rPr>
      </w:pPr>
    </w:p>
    <w:p w:rsidR="00235EB1" w:rsidRPr="00235EB1" w:rsidRDefault="00235EB1" w:rsidP="00235EB1">
      <w:pPr>
        <w:rPr>
          <w:rFonts w:ascii="Arial" w:hAnsi="Arial" w:cs="Arial"/>
          <w:sz w:val="18"/>
          <w:szCs w:val="18"/>
        </w:rPr>
      </w:pPr>
      <w:r w:rsidRPr="00235EB1">
        <w:rPr>
          <w:rFonts w:ascii="Arial" w:hAnsi="Arial" w:cs="Arial"/>
          <w:sz w:val="18"/>
          <w:szCs w:val="18"/>
        </w:rPr>
        <w:t>Dział 1.1.1 i Dział 1.1.2</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235EB1" w:rsidRPr="00235EB1" w:rsidRDefault="00235EB1" w:rsidP="00235EB1">
      <w:pPr>
        <w:rPr>
          <w:rFonts w:ascii="Arial" w:hAnsi="Arial" w:cs="Arial"/>
          <w:sz w:val="18"/>
          <w:szCs w:val="18"/>
        </w:rPr>
      </w:pPr>
      <w:r w:rsidRPr="00235EB1">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235EB1" w:rsidRPr="00235EB1" w:rsidRDefault="00235EB1" w:rsidP="00235EB1">
      <w:pPr>
        <w:rPr>
          <w:rFonts w:ascii="Arial" w:hAnsi="Arial" w:cs="Arial"/>
          <w:sz w:val="18"/>
          <w:szCs w:val="18"/>
        </w:rPr>
      </w:pPr>
      <w:r w:rsidRPr="00235EB1">
        <w:rPr>
          <w:rFonts w:ascii="Arial" w:hAnsi="Arial" w:cs="Arial"/>
          <w:sz w:val="18"/>
          <w:szCs w:val="18"/>
        </w:rPr>
        <w:t>Wpływ spraw K karne-skarbowe z wnioskiem o dobrowolne poddanie się odpowiedzialności powinno się wykazywać w wierszu 02 (wniosek o ukaranie).</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54 ust 2 Regulaminu).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sz w:val="18"/>
          <w:szCs w:val="18"/>
        </w:rPr>
        <w:t xml:space="preserve">W przypadku, gdy sprawy ze zniesionego wydziału przejmuje inny wydział </w:t>
      </w:r>
      <w:r w:rsidRPr="00235EB1">
        <w:rPr>
          <w:rFonts w:ascii="Arial" w:hAnsi="Arial" w:cs="Arial"/>
          <w:sz w:val="18"/>
          <w:szCs w:val="18"/>
          <w:u w:val="single"/>
        </w:rPr>
        <w:t>w ramach tego samego sądu</w:t>
      </w:r>
      <w:r w:rsidRPr="00235EB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35EB1">
        <w:rPr>
          <w:rFonts w:ascii="Arial" w:hAnsi="Arial" w:cs="Arial"/>
          <w:sz w:val="18"/>
          <w:szCs w:val="18"/>
          <w:u w:val="single"/>
        </w:rPr>
        <w:t>do innego sądu</w:t>
      </w:r>
      <w:r w:rsidRPr="00235EB1">
        <w:rPr>
          <w:rFonts w:ascii="Arial" w:hAnsi="Arial" w:cs="Arial"/>
          <w:sz w:val="18"/>
          <w:szCs w:val="18"/>
        </w:rPr>
        <w:t>, wówczas w sądzie przejmującym sprawy te należy wykazać w wierszu „w związku ze zmianą obszaru właściwości miejscowej sądu (ów)”.</w:t>
      </w:r>
      <w:r w:rsidRPr="00235EB1">
        <w:rPr>
          <w:rFonts w:ascii="Arial" w:hAnsi="Arial" w:cs="Arial"/>
          <w:bCs/>
          <w:sz w:val="18"/>
          <w:szCs w:val="18"/>
        </w:rPr>
        <w:t xml:space="preserve">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b, c</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235EB1">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f, g ,h</w:t>
      </w:r>
    </w:p>
    <w:p w:rsidR="00235EB1" w:rsidRPr="00235EB1" w:rsidRDefault="00235EB1" w:rsidP="00235EB1">
      <w:pPr>
        <w:jc w:val="both"/>
        <w:rPr>
          <w:rFonts w:ascii="Arial" w:hAnsi="Arial" w:cs="Arial"/>
          <w:sz w:val="18"/>
          <w:szCs w:val="18"/>
        </w:rPr>
      </w:pPr>
      <w:r w:rsidRPr="00235EB1">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235EB1" w:rsidRPr="00235EB1" w:rsidRDefault="00235EB1" w:rsidP="00235EB1">
      <w:pPr>
        <w:jc w:val="both"/>
        <w:rPr>
          <w:rFonts w:ascii="Arial" w:hAnsi="Arial" w:cs="Arial"/>
          <w:sz w:val="18"/>
          <w:szCs w:val="18"/>
        </w:rPr>
      </w:pP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 xml:space="preserve">Dział 1.1.j </w:t>
      </w: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Dział ten obejmuje rozstrzygnięcia spraw w wyniku kasacji wniesionych przez Prokuratora Generalnego, Rzecznika Praw Obywatelskich, Rzecznika Praw Dziecka.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lastRenderedPageBreak/>
        <w:t>Dział 1.1 k</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235EB1" w:rsidRPr="00235EB1" w:rsidRDefault="00235EB1" w:rsidP="00235EB1">
      <w:pPr>
        <w:jc w:val="both"/>
        <w:rPr>
          <w:rFonts w:ascii="Arial" w:hAnsi="Arial" w:cs="Arial"/>
          <w:b/>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ten dotyczy także przesłuchań na etapie postępowania przygotowawczego. </w:t>
      </w:r>
    </w:p>
    <w:p w:rsidR="00235EB1" w:rsidRPr="00235EB1" w:rsidRDefault="00235EB1" w:rsidP="00235EB1">
      <w:pPr>
        <w:jc w:val="both"/>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1.1.7.b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1.2.1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235EB1">
        <w:rPr>
          <w:rFonts w:ascii="Arial" w:hAnsi="Arial" w:cs="Arial"/>
          <w:b/>
          <w:bCs/>
          <w:sz w:val="18"/>
          <w:szCs w:val="18"/>
        </w:rPr>
        <w:t>Nadto wykazuje się jedynie te wyznaczenia spraw, które wiążą się z merytorycznym ich rozpoznaniem, a nie z kwestiami incydentalnymi w danego rodzaju sprawie.</w:t>
      </w:r>
      <w:r w:rsidRPr="00235EB1">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35EB1">
        <w:rPr>
          <w:rFonts w:ascii="Arial" w:hAnsi="Arial" w:cs="Arial"/>
          <w:b/>
          <w:bCs/>
          <w:sz w:val="18"/>
          <w:szCs w:val="18"/>
          <w:u w:val="single"/>
        </w:rPr>
        <w:t>wszystkie</w:t>
      </w:r>
      <w:r w:rsidRPr="00235EB1">
        <w:rPr>
          <w:rFonts w:ascii="Arial" w:hAnsi="Arial" w:cs="Arial"/>
          <w:bCs/>
          <w:sz w:val="18"/>
          <w:szCs w:val="18"/>
        </w:rPr>
        <w:t xml:space="preserve"> wokandy (choćby było ich więcej niż jedna danego dnia) jakie zostały sporządzone a dotyczą one wyznaczenia spraw, </w:t>
      </w:r>
      <w:r w:rsidRPr="00235EB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235EB1">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35EB1" w:rsidRPr="00235EB1" w:rsidRDefault="00235EB1" w:rsidP="00235EB1">
      <w:pPr>
        <w:autoSpaceDE w:val="0"/>
        <w:autoSpaceDN w:val="0"/>
        <w:adjustRightInd w:val="0"/>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1.2.2</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35EB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235EB1">
        <w:rPr>
          <w:rFonts w:ascii="Arial" w:hAnsi="Arial" w:cs="Arial"/>
          <w:sz w:val="18"/>
          <w:szCs w:val="18"/>
        </w:rPr>
        <w:t xml:space="preserve"> </w:t>
      </w:r>
    </w:p>
    <w:p w:rsidR="00235EB1" w:rsidRPr="00235EB1" w:rsidRDefault="00235EB1" w:rsidP="00235EB1">
      <w:pPr>
        <w:ind w:firstLine="708"/>
        <w:rPr>
          <w:rFonts w:ascii="Arial" w:hAnsi="Arial" w:cs="Arial"/>
          <w:sz w:val="18"/>
          <w:szCs w:val="18"/>
        </w:rPr>
      </w:pPr>
      <w:r w:rsidRPr="00235EB1">
        <w:rPr>
          <w:rFonts w:ascii="Arial" w:hAnsi="Arial" w:cs="Arial"/>
          <w:sz w:val="18"/>
          <w:szCs w:val="18"/>
        </w:rPr>
        <w:lastRenderedPageBreak/>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35EB1" w:rsidRPr="00235EB1" w:rsidRDefault="00235EB1" w:rsidP="00235EB1">
      <w:pPr>
        <w:autoSpaceDE w:val="0"/>
        <w:autoSpaceDN w:val="0"/>
        <w:adjustRightInd w:val="0"/>
        <w:jc w:val="both"/>
        <w:rPr>
          <w:rFonts w:ascii="Arial" w:hAnsi="Arial" w:cs="Arial"/>
          <w:sz w:val="18"/>
          <w:szCs w:val="18"/>
        </w:rPr>
      </w:pPr>
      <w:r w:rsidRPr="00235EB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235EB1" w:rsidRPr="00235EB1" w:rsidRDefault="00235EB1" w:rsidP="00235EB1">
      <w:pPr>
        <w:autoSpaceDE w:val="0"/>
        <w:autoSpaceDN w:val="0"/>
        <w:adjustRightInd w:val="0"/>
        <w:spacing w:before="60"/>
        <w:jc w:val="both"/>
        <w:rPr>
          <w:rFonts w:ascii="Arial" w:hAnsi="Arial" w:cs="Arial"/>
          <w:bCs/>
          <w:sz w:val="18"/>
          <w:szCs w:val="18"/>
        </w:rPr>
      </w:pP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1.3</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kolumnach 3, 5, 7, 9 wykazuje się uzasadnienia sporządzone we wskazanych w nich terminach, które przypadają </w:t>
      </w:r>
      <w:r w:rsidRPr="00235EB1">
        <w:rPr>
          <w:rFonts w:ascii="Arial" w:hAnsi="Arial" w:cs="Arial"/>
          <w:b/>
          <w:bCs/>
          <w:sz w:val="18"/>
          <w:szCs w:val="18"/>
          <w:u w:val="single"/>
        </w:rPr>
        <w:t>po terminie ustawowym</w:t>
      </w:r>
      <w:r w:rsidRPr="00235EB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35EB1">
        <w:rPr>
          <w:rFonts w:ascii="Arial" w:hAnsi="Arial" w:cs="Arial"/>
          <w:b/>
          <w:bCs/>
          <w:sz w:val="18"/>
          <w:szCs w:val="18"/>
          <w:u w:val="single"/>
        </w:rPr>
        <w:t>nadto</w:t>
      </w:r>
      <w:r w:rsidRPr="00235EB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235EB1">
        <w:rPr>
          <w:rFonts w:ascii="Arial" w:hAnsi="Arial" w:cs="Arial"/>
          <w:sz w:val="18"/>
          <w:szCs w:val="18"/>
        </w:rPr>
        <w:t>82 § 6 kpw</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2.1.1</w:t>
      </w:r>
    </w:p>
    <w:p w:rsidR="00235EB1" w:rsidRPr="00235EB1" w:rsidRDefault="00235EB1" w:rsidP="00235EB1">
      <w:pPr>
        <w:spacing w:before="120"/>
        <w:jc w:val="both"/>
        <w:rPr>
          <w:rFonts w:ascii="Arial" w:hAnsi="Arial" w:cs="Arial"/>
          <w:sz w:val="18"/>
          <w:szCs w:val="18"/>
        </w:rPr>
      </w:pPr>
      <w:r w:rsidRPr="00235EB1">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235EB1" w:rsidRPr="00235EB1" w:rsidRDefault="00235EB1" w:rsidP="00235EB1">
      <w:pPr>
        <w:spacing w:before="120"/>
        <w:jc w:val="both"/>
        <w:rPr>
          <w:rFonts w:ascii="Arial" w:hAnsi="Arial" w:cs="Arial"/>
          <w:bCs/>
          <w:sz w:val="18"/>
          <w:szCs w:val="18"/>
        </w:rPr>
      </w:pPr>
      <w:r w:rsidRPr="00235EB1">
        <w:rPr>
          <w:rFonts w:ascii="Arial" w:hAnsi="Arial" w:cs="Arial"/>
          <w:sz w:val="18"/>
          <w:szCs w:val="18"/>
        </w:rPr>
        <w:t>Dział 2.1.2</w:t>
      </w:r>
      <w:r w:rsidRPr="00235EB1">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W wierszach 02 - 11 należy wykazać wszystkie sprawy „K, Kp, W”, które zakończyły się prawomocnie w I instancji. Wykazywane sprawy obejmują także te</w:t>
      </w:r>
      <w:r w:rsidRPr="00235EB1">
        <w:rPr>
          <w:rFonts w:ascii="Arial" w:hAnsi="Arial" w:cs="Arial"/>
          <w:sz w:val="18"/>
          <w:szCs w:val="18"/>
        </w:rPr>
        <w:t xml:space="preserve">, w których wydano prawomocne orzeczenie w danym okresie sprawozdawczym w wyniku podjęcia zawieszonego postępowania. </w:t>
      </w:r>
      <w:r w:rsidRPr="00235EB1">
        <w:rPr>
          <w:rFonts w:ascii="Arial" w:hAnsi="Arial" w:cs="Arial"/>
          <w:bCs/>
          <w:sz w:val="18"/>
          <w:szCs w:val="18"/>
        </w:rPr>
        <w:t xml:space="preserve">Okres we wszystkich sprawach liczy się od </w:t>
      </w:r>
      <w:r w:rsidRPr="00235EB1">
        <w:rPr>
          <w:rFonts w:ascii="Arial" w:hAnsi="Arial" w:cs="Arial"/>
          <w:sz w:val="18"/>
          <w:szCs w:val="18"/>
        </w:rPr>
        <w:t>daty pierwszej rejestracji w sądzie i obejmuje także okres, w którym postępowanie w sprawie było zawieszone.</w:t>
      </w:r>
      <w:r w:rsidRPr="00235EB1">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235EB1" w:rsidRPr="00235EB1" w:rsidRDefault="00235EB1" w:rsidP="00235EB1">
      <w:pPr>
        <w:jc w:val="both"/>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2.2.a</w:t>
      </w:r>
    </w:p>
    <w:p w:rsidR="00235EB1" w:rsidRPr="00235EB1" w:rsidRDefault="00235EB1" w:rsidP="00235EB1">
      <w:pPr>
        <w:jc w:val="both"/>
        <w:rPr>
          <w:rFonts w:ascii="Arial" w:hAnsi="Arial" w:cs="Arial"/>
          <w:bCs/>
          <w:sz w:val="20"/>
          <w:szCs w:val="20"/>
        </w:rPr>
      </w:pPr>
      <w:r w:rsidRPr="00235EB1">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235EB1" w:rsidRPr="00235EB1" w:rsidRDefault="00235EB1" w:rsidP="00235EB1">
      <w:pPr>
        <w:rPr>
          <w:rFonts w:ascii="Arial" w:hAnsi="Arial" w:cs="Arial"/>
          <w:bCs/>
          <w:sz w:val="18"/>
          <w:szCs w:val="18"/>
        </w:rPr>
      </w:pPr>
    </w:p>
    <w:p w:rsidR="00235EB1" w:rsidRPr="00235EB1" w:rsidRDefault="00235EB1" w:rsidP="00235EB1">
      <w:pPr>
        <w:rPr>
          <w:rFonts w:ascii="Arial" w:hAnsi="Arial" w:cs="Arial"/>
          <w:bCs/>
          <w:sz w:val="18"/>
          <w:szCs w:val="18"/>
        </w:rPr>
      </w:pPr>
      <w:r w:rsidRPr="00235EB1">
        <w:rPr>
          <w:rFonts w:ascii="Arial" w:hAnsi="Arial" w:cs="Arial"/>
          <w:bCs/>
          <w:sz w:val="18"/>
          <w:szCs w:val="18"/>
        </w:rPr>
        <w:t>Dział 3</w:t>
      </w:r>
    </w:p>
    <w:p w:rsidR="00235EB1" w:rsidRPr="00235EB1" w:rsidRDefault="00235EB1" w:rsidP="00235EB1">
      <w:pPr>
        <w:jc w:val="both"/>
        <w:outlineLvl w:val="0"/>
        <w:rPr>
          <w:rFonts w:ascii="Arial" w:hAnsi="Arial" w:cs="Arial"/>
          <w:bCs/>
          <w:sz w:val="18"/>
          <w:szCs w:val="18"/>
        </w:rPr>
      </w:pPr>
      <w:r w:rsidRPr="00235EB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35EB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235EB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235EB1">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3.1</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ten wypełnia wydział pierwszoinstancyjny i wykazuje sprawy przekazane w okresie statystycznym do wydziału drugoinstancyjnego</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4.1 </w:t>
      </w: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ten dotyczy również spraw karnoskarbowych. </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6 </w:t>
      </w:r>
    </w:p>
    <w:p w:rsidR="00235EB1" w:rsidRPr="00235EB1" w:rsidRDefault="00235EB1" w:rsidP="00235EB1">
      <w:pPr>
        <w:jc w:val="both"/>
        <w:rPr>
          <w:rFonts w:ascii="Arial" w:hAnsi="Arial" w:cs="Arial"/>
          <w:sz w:val="18"/>
          <w:szCs w:val="18"/>
        </w:rPr>
      </w:pPr>
      <w:r w:rsidRPr="00235EB1">
        <w:rPr>
          <w:rFonts w:ascii="Arial" w:hAnsi="Arial" w:cs="Arial"/>
          <w:sz w:val="18"/>
          <w:szCs w:val="18"/>
        </w:rPr>
        <w:t>Wykaz dot. tymczasowo aresztowanych pozostających do dyspozycji sądów i inne rodzaje środków.</w:t>
      </w:r>
    </w:p>
    <w:p w:rsidR="00235EB1" w:rsidRPr="00235EB1" w:rsidRDefault="00235EB1" w:rsidP="00235EB1">
      <w:pPr>
        <w:pStyle w:val="Tekstpodstawowy3"/>
        <w:spacing w:line="240" w:lineRule="auto"/>
        <w:ind w:right="444"/>
        <w:rPr>
          <w:rFonts w:cs="Arial"/>
          <w:sz w:val="18"/>
          <w:szCs w:val="18"/>
        </w:rPr>
      </w:pPr>
      <w:r w:rsidRPr="00235EB1">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rsidR="00235EB1" w:rsidRPr="00235EB1" w:rsidRDefault="00235EB1" w:rsidP="00235EB1">
      <w:pPr>
        <w:pStyle w:val="Tekstpodstawowy3"/>
        <w:spacing w:line="240" w:lineRule="auto"/>
        <w:ind w:right="444"/>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Uwaga: W wierszach od 01 do 14 należy wykazać liczbę osób, a w wierszach od 15 do 23 – liczbę zastosowanych środków.</w:t>
      </w:r>
    </w:p>
    <w:p w:rsidR="00235EB1" w:rsidRPr="00235EB1" w:rsidRDefault="00235EB1" w:rsidP="00235EB1">
      <w:pPr>
        <w:pStyle w:val="Tekstpodstawowy3"/>
        <w:spacing w:line="240" w:lineRule="auto"/>
        <w:ind w:right="1871"/>
        <w:rPr>
          <w:rFonts w:cs="Arial"/>
          <w:sz w:val="18"/>
          <w:szCs w:val="18"/>
        </w:rPr>
      </w:pPr>
      <w:r w:rsidRPr="00235EB1">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outlineLvl w:val="0"/>
        <w:rPr>
          <w:rFonts w:ascii="Arial" w:hAnsi="Arial" w:cs="Arial"/>
          <w:bCs/>
          <w:sz w:val="18"/>
          <w:szCs w:val="18"/>
        </w:rPr>
      </w:pPr>
      <w:r w:rsidRPr="00235EB1">
        <w:rPr>
          <w:rFonts w:ascii="Arial" w:hAnsi="Arial" w:cs="Arial"/>
          <w:b/>
          <w:sz w:val="18"/>
          <w:szCs w:val="18"/>
        </w:rPr>
        <w:t xml:space="preserve"> </w:t>
      </w:r>
      <w:r w:rsidRPr="00235EB1">
        <w:rPr>
          <w:rFonts w:ascii="Arial" w:hAnsi="Arial" w:cs="Arial"/>
          <w:bCs/>
          <w:sz w:val="18"/>
          <w:szCs w:val="18"/>
        </w:rPr>
        <w:t>Dział 8</w:t>
      </w:r>
    </w:p>
    <w:p w:rsidR="00235EB1" w:rsidRPr="00235EB1" w:rsidRDefault="00235EB1" w:rsidP="00235EB1">
      <w:pPr>
        <w:autoSpaceDE w:val="0"/>
        <w:autoSpaceDN w:val="0"/>
        <w:adjustRightInd w:val="0"/>
        <w:jc w:val="both"/>
        <w:rPr>
          <w:rFonts w:ascii="Arial" w:hAnsi="Arial" w:cs="Arial"/>
          <w:b/>
          <w:bCs/>
          <w:i/>
          <w:sz w:val="18"/>
          <w:szCs w:val="18"/>
          <w:u w:val="single"/>
        </w:rPr>
      </w:pPr>
      <w:r w:rsidRPr="00235EB1">
        <w:rPr>
          <w:rFonts w:ascii="Arial" w:hAnsi="Arial" w:cs="Arial"/>
          <w:sz w:val="18"/>
          <w:szCs w:val="18"/>
        </w:rPr>
        <w:t xml:space="preserve">Wykazywanie wpływu, załatwienia czy pozostałości spraw wielotomowych w pionie karnym nie dotyczy spraw w przedmiocie wydania wyroku łącznego. </w:t>
      </w:r>
    </w:p>
    <w:p w:rsidR="00235EB1" w:rsidRPr="00235EB1" w:rsidRDefault="00235EB1" w:rsidP="00235EB1">
      <w:pPr>
        <w:rPr>
          <w:rFonts w:ascii="Arial" w:hAnsi="Arial" w:cs="Arial"/>
          <w:bCs/>
          <w:sz w:val="18"/>
          <w:szCs w:val="18"/>
        </w:rPr>
      </w:pPr>
      <w:r w:rsidRPr="00235EB1">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235EB1" w:rsidRPr="00235EB1" w:rsidRDefault="00235EB1" w:rsidP="00235EB1">
      <w:pPr>
        <w:pStyle w:val="Tekstpodstawowy"/>
        <w:spacing w:line="240" w:lineRule="auto"/>
        <w:rPr>
          <w:rFonts w:cs="Arial"/>
          <w:color w:val="auto"/>
          <w:sz w:val="18"/>
          <w:szCs w:val="18"/>
        </w:rPr>
      </w:pPr>
      <w:r w:rsidRPr="00235EB1">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235EB1" w:rsidRPr="00235EB1" w:rsidRDefault="00235EB1" w:rsidP="00235EB1">
      <w:pPr>
        <w:ind w:left="180"/>
        <w:rPr>
          <w:rFonts w:ascii="Arial" w:hAnsi="Arial" w:cs="Arial"/>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Dział 9.1 Limity etatów i obsada sądu (wydziału)</w:t>
      </w:r>
    </w:p>
    <w:p w:rsidR="00235EB1" w:rsidRPr="00235EB1" w:rsidRDefault="00235EB1" w:rsidP="00235EB1">
      <w:pPr>
        <w:ind w:left="180"/>
        <w:rPr>
          <w:rFonts w:ascii="Arial" w:hAnsi="Arial" w:cs="Arial"/>
          <w:b/>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 xml:space="preserve">Objaśnienia wspólne dla wszystkich pionów orzeczniczych. </w:t>
      </w:r>
    </w:p>
    <w:p w:rsidR="00235EB1" w:rsidRPr="00235EB1" w:rsidRDefault="00235EB1" w:rsidP="00235EB1">
      <w:pPr>
        <w:jc w:val="both"/>
        <w:rPr>
          <w:rFonts w:ascii="Arial" w:hAnsi="Arial" w:cs="Arial"/>
          <w:b/>
          <w:bCs/>
        </w:rPr>
      </w:pPr>
      <w:r w:rsidRPr="00235EB1">
        <w:rPr>
          <w:rFonts w:ascii="Arial" w:hAnsi="Arial" w:cs="Arial"/>
          <w:b/>
          <w:bCs/>
        </w:rPr>
        <w:t>W kolumnach dotyczących stanowisk sędziowskich wykazuje się również stanowiska asesorskie.</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Dla wykazywania obsad przyjmuje się, że </w:t>
      </w:r>
      <w:r w:rsidRPr="00235EB1">
        <w:rPr>
          <w:rFonts w:ascii="Arial" w:hAnsi="Arial" w:cs="Arial"/>
          <w:b/>
          <w:bCs/>
          <w:sz w:val="18"/>
          <w:szCs w:val="18"/>
        </w:rPr>
        <w:t>rok jest równoważny 360 dniom pracy (12 miesięcy po 30 dni) a okres półrocza 180 dniom</w:t>
      </w:r>
      <w:r w:rsidRPr="00235EB1">
        <w:rPr>
          <w:rFonts w:ascii="Arial" w:hAnsi="Arial" w:cs="Arial"/>
          <w:bCs/>
          <w:sz w:val="18"/>
          <w:szCs w:val="18"/>
        </w:rPr>
        <w:t xml:space="preserve">. Przy wyliczaniu obsady średniookresowej i odliczaniu okresów nieobecności w pracy przyjmuje się, że okres nieobecności </w:t>
      </w:r>
      <w:r w:rsidRPr="00235EB1">
        <w:rPr>
          <w:rFonts w:ascii="Arial" w:hAnsi="Arial" w:cs="Arial"/>
          <w:b/>
          <w:bCs/>
          <w:sz w:val="18"/>
          <w:szCs w:val="18"/>
        </w:rPr>
        <w:t>w pracy</w:t>
      </w:r>
      <w:r w:rsidRPr="00235EB1">
        <w:rPr>
          <w:rFonts w:ascii="Arial" w:hAnsi="Arial" w:cs="Arial"/>
          <w:bCs/>
          <w:sz w:val="18"/>
          <w:szCs w:val="18"/>
        </w:rPr>
        <w:t xml:space="preserve"> niezależnie od przyczyny (urlop, zwolnienie) </w:t>
      </w:r>
      <w:r w:rsidRPr="00235EB1">
        <w:rPr>
          <w:rFonts w:ascii="Arial" w:hAnsi="Arial" w:cs="Arial"/>
          <w:b/>
          <w:bCs/>
          <w:sz w:val="18"/>
          <w:szCs w:val="18"/>
        </w:rPr>
        <w:t>obejmujący weekend liczony jest jako całość</w:t>
      </w:r>
      <w:r w:rsidRPr="00235EB1">
        <w:rPr>
          <w:rFonts w:ascii="Arial" w:hAnsi="Arial" w:cs="Arial"/>
          <w:bCs/>
          <w:sz w:val="18"/>
          <w:szCs w:val="18"/>
        </w:rPr>
        <w:t xml:space="preserve">. Przykładowo urlop od poniedziałku </w:t>
      </w:r>
      <w:r w:rsidRPr="00235EB1">
        <w:rPr>
          <w:rFonts w:ascii="Arial" w:hAnsi="Arial" w:cs="Arial"/>
          <w:bCs/>
          <w:sz w:val="18"/>
          <w:szCs w:val="18"/>
        </w:rPr>
        <w:lastRenderedPageBreak/>
        <w:t>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„Sędziowie funkcyjni SR”</w:t>
      </w:r>
      <w:r w:rsidRPr="00235EB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35EB1">
        <w:rPr>
          <w:rFonts w:ascii="Arial" w:hAnsi="Arial" w:cs="Arial"/>
          <w:sz w:val="18"/>
          <w:szCs w:val="18"/>
        </w:rPr>
        <w:t>sędziowie wizytujący zakłady dla nieletnich i zakłady leczenia osób z zaburzeniami psychicznymi.</w:t>
      </w:r>
      <w:r w:rsidRPr="00235EB1">
        <w:rPr>
          <w:rFonts w:ascii="Arial" w:hAnsi="Arial" w:cs="Arial"/>
          <w:bCs/>
          <w:sz w:val="18"/>
          <w:szCs w:val="18"/>
        </w:rPr>
        <w:t xml:space="preserve"> </w:t>
      </w:r>
      <w:r w:rsidRPr="00235EB1">
        <w:rPr>
          <w:rFonts w:ascii="Arial" w:hAnsi="Arial" w:cs="Arial"/>
          <w:b/>
          <w:bCs/>
          <w:sz w:val="18"/>
          <w:szCs w:val="18"/>
          <w:u w:val="single"/>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na ostatni dzień okresu statystycznego”</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35EB1">
        <w:rPr>
          <w:rFonts w:ascii="Arial" w:hAnsi="Arial" w:cs="Arial"/>
          <w:b/>
          <w:bCs/>
          <w:sz w:val="18"/>
          <w:szCs w:val="18"/>
        </w:rPr>
        <w:t xml:space="preserve">Wliczeniu podlegają także sędziowie danego sądu rejonowego przydzieleni do danego pionu, a delegowani do Ministerstwa Sprawiedliwości. </w:t>
      </w:r>
      <w:r w:rsidRPr="00235EB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35EB1">
        <w:rPr>
          <w:rFonts w:ascii="Arial" w:hAnsi="Arial" w:cs="Arial"/>
          <w:b/>
          <w:bCs/>
          <w:sz w:val="18"/>
          <w:szCs w:val="18"/>
        </w:rPr>
        <w:t>w ramach limitu danego pionu orzeczniczego na</w:t>
      </w:r>
      <w:r w:rsidRPr="00235EB1">
        <w:rPr>
          <w:rFonts w:ascii="Arial" w:hAnsi="Arial" w:cs="Arial"/>
          <w:bCs/>
          <w:sz w:val="18"/>
          <w:szCs w:val="18"/>
        </w:rPr>
        <w:t xml:space="preserve"> ostatni dzień okresu statystycznego</w:t>
      </w:r>
      <w:r w:rsidRPr="00235EB1">
        <w:rPr>
          <w:rFonts w:ascii="Arial" w:hAnsi="Arial" w:cs="Arial"/>
          <w:b/>
          <w:bCs/>
          <w:sz w:val="18"/>
          <w:szCs w:val="18"/>
        </w:rPr>
        <w:t xml:space="preserve">, </w:t>
      </w:r>
      <w:r w:rsidRPr="00235EB1">
        <w:rPr>
          <w:rFonts w:ascii="Arial" w:hAnsi="Arial" w:cs="Arial"/>
          <w:bCs/>
          <w:sz w:val="18"/>
          <w:szCs w:val="18"/>
        </w:rPr>
        <w:t xml:space="preserve">stanowi liczba sędziów i wakujących stanowisk sędziowskich w tym pionie na ten dzień.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w:t>
      </w:r>
      <w:r w:rsidRPr="00235EB1">
        <w:rPr>
          <w:rFonts w:ascii="Arial" w:hAnsi="Arial" w:cs="Arial"/>
          <w:bCs/>
          <w:sz w:val="18"/>
          <w:szCs w:val="18"/>
        </w:rPr>
        <w:t xml:space="preserve">na ostatni dzień okresu statystycznego </w:t>
      </w:r>
      <w:r w:rsidRPr="00235EB1">
        <w:rPr>
          <w:rFonts w:ascii="Arial" w:hAnsi="Arial" w:cs="Arial"/>
          <w:b/>
          <w:bCs/>
          <w:sz w:val="18"/>
          <w:szCs w:val="18"/>
          <w:u w:val="single"/>
        </w:rPr>
        <w:t xml:space="preserve">powinna odpowiadać ogólnemu limitowi etatów sędziowskich SR (w tym wakujących stanowisk) w danym sądzie na ten dzień.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35EB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35EB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w danym okresie statystycznym”</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35EB1">
        <w:rPr>
          <w:rFonts w:ascii="Arial" w:hAnsi="Arial" w:cs="Arial"/>
          <w:b/>
          <w:bCs/>
          <w:sz w:val="18"/>
          <w:szCs w:val="18"/>
        </w:rPr>
        <w:t>Wliczeniu podlegają także sędziowie danego sądu rejonowego przydzieleni do danego pionu a delegowani do Ministerstwa Sprawiedliwości.</w:t>
      </w:r>
      <w:r w:rsidRPr="00235EB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35EB1">
        <w:rPr>
          <w:rFonts w:ascii="Arial" w:hAnsi="Arial" w:cs="Arial"/>
          <w:b/>
          <w:bCs/>
          <w:sz w:val="18"/>
          <w:szCs w:val="18"/>
        </w:rPr>
        <w:t>w ramach limitu danego pionu orzeczniczego</w:t>
      </w:r>
      <w:r w:rsidRPr="00235EB1">
        <w:rPr>
          <w:rFonts w:ascii="Arial" w:hAnsi="Arial" w:cs="Arial"/>
          <w:bCs/>
          <w:sz w:val="18"/>
          <w:szCs w:val="18"/>
        </w:rPr>
        <w:t xml:space="preserve"> za dany okres statystyczny, stanowi liczba sędziów i wakujących stanowisk sędziowskich w tym pionie.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35EB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35EB1">
        <w:rPr>
          <w:rFonts w:ascii="Arial" w:hAnsi="Arial" w:cs="Arial"/>
          <w:b/>
          <w:bCs/>
          <w:sz w:val="18"/>
          <w:szCs w:val="18"/>
        </w:rPr>
        <w:t xml:space="preserve"> </w:t>
      </w:r>
      <w:r w:rsidRPr="00235EB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235EB1">
        <w:rPr>
          <w:rFonts w:ascii="Arial" w:hAnsi="Arial" w:cs="Arial"/>
          <w:b/>
          <w:bCs/>
          <w:sz w:val="18"/>
          <w:szCs w:val="18"/>
        </w:rPr>
        <w:t>etat</w:t>
      </w:r>
      <w:r w:rsidRPr="00235EB1">
        <w:rPr>
          <w:rFonts w:ascii="Arial" w:hAnsi="Arial" w:cs="Arial"/>
          <w:bCs/>
          <w:sz w:val="18"/>
          <w:szCs w:val="18"/>
        </w:rPr>
        <w:t xml:space="preserve"> w pionie karnym należy wykazać jako 0,75 (90 sesji/120 sesji pomnożone przez 1 (jako etat)), zaś w pionie cywilnym 0,25. Powyższe w </w:t>
      </w:r>
      <w:r w:rsidRPr="00235EB1">
        <w:rPr>
          <w:rFonts w:ascii="Arial" w:hAnsi="Arial" w:cs="Arial"/>
          <w:bCs/>
          <w:sz w:val="18"/>
          <w:szCs w:val="18"/>
        </w:rPr>
        <w:lastRenderedPageBreak/>
        <w:t>żaden sposób nie wpłynie na zwiększenie czy też zmniejszenie limitu etatów w danym sądzie rejonowym, a spowoduje jedynie cząstkowe wykazywanie etatów w poszczególnych pionach.</w:t>
      </w:r>
      <w:r w:rsidRPr="00235EB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35EB1">
        <w:rPr>
          <w:rFonts w:ascii="Arial" w:hAnsi="Arial" w:cs="Arial"/>
          <w:bCs/>
          <w:sz w:val="18"/>
          <w:szCs w:val="18"/>
        </w:rPr>
        <w:t>na ostatni dzień okresu statystycznego.</w:t>
      </w:r>
      <w:r w:rsidRPr="00235EB1">
        <w:rPr>
          <w:rFonts w:ascii="Arial" w:hAnsi="Arial" w:cs="Arial"/>
          <w:b/>
          <w:bCs/>
          <w:sz w:val="18"/>
          <w:szCs w:val="18"/>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Dane dotyczące danego pionu obejmują także dane z wydziałów zamiejscowych danego sądu rejonowego oraz wydziałów wykonawczych i egzekucyjnych.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 sytuacji gdy w sądzie rejonowym w danym pionie jest więcej niż jeden wydział do ustalenia </w:t>
      </w:r>
      <w:r w:rsidRPr="00235EB1">
        <w:rPr>
          <w:rFonts w:ascii="Arial" w:hAnsi="Arial" w:cs="Arial"/>
          <w:b/>
          <w:bCs/>
          <w:sz w:val="18"/>
          <w:szCs w:val="18"/>
        </w:rPr>
        <w:t>średniookresowej liczby sesji sędziego SR w danym okresie statystycznym</w:t>
      </w:r>
      <w:r w:rsidRPr="00235EB1">
        <w:rPr>
          <w:rFonts w:ascii="Arial" w:hAnsi="Arial" w:cs="Arial"/>
          <w:bCs/>
          <w:sz w:val="18"/>
          <w:szCs w:val="18"/>
        </w:rPr>
        <w:t xml:space="preserve"> (miesięcznym, półrocznym czy też rocznym) przyjmuje się</w:t>
      </w:r>
      <w:r w:rsidRPr="00235EB1">
        <w:rPr>
          <w:rFonts w:ascii="Arial" w:hAnsi="Arial" w:cs="Arial"/>
          <w:b/>
          <w:bCs/>
          <w:sz w:val="18"/>
          <w:szCs w:val="18"/>
        </w:rPr>
        <w:t xml:space="preserve"> </w:t>
      </w:r>
      <w:r w:rsidRPr="00235EB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35EB1">
        <w:rPr>
          <w:rFonts w:ascii="Arial" w:hAnsi="Arial" w:cs="Arial"/>
          <w:b/>
          <w:bCs/>
          <w:sz w:val="18"/>
          <w:szCs w:val="18"/>
        </w:rPr>
        <w:t>przez obsadę średniookresową</w:t>
      </w:r>
      <w:r w:rsidRPr="00235EB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35EB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35EB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Liczby sędziów w kolumnach następujących po obsadzie średniookresowej (</w:t>
      </w:r>
      <w:r w:rsidRPr="00235EB1">
        <w:rPr>
          <w:rFonts w:ascii="Arial" w:hAnsi="Arial" w:cs="Arial"/>
          <w:b/>
          <w:bCs/>
          <w:sz w:val="18"/>
          <w:szCs w:val="18"/>
        </w:rPr>
        <w:t>w żadnym wypadku</w:t>
      </w:r>
      <w:r w:rsidRPr="00235EB1">
        <w:rPr>
          <w:rFonts w:ascii="Arial" w:hAnsi="Arial" w:cs="Arial"/>
          <w:bCs/>
          <w:sz w:val="18"/>
          <w:szCs w:val="18"/>
        </w:rPr>
        <w:t xml:space="preserve"> </w:t>
      </w:r>
      <w:r w:rsidRPr="00235EB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235EB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 xml:space="preserve"> „</w:t>
      </w:r>
      <w:r w:rsidRPr="00235EB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235EB1">
        <w:rPr>
          <w:rFonts w:ascii="Arial" w:hAnsi="Arial" w:cs="Arial"/>
          <w:sz w:val="18"/>
          <w:szCs w:val="18"/>
        </w:rPr>
        <w:t xml:space="preserve"> i delegowanych do pełnienia czynności orzeczniczych w pełnym wymiarze w innym sądzie rejonowym</w:t>
      </w:r>
      <w:r w:rsidRPr="00235EB1">
        <w:rPr>
          <w:rFonts w:ascii="Arial" w:hAnsi="Arial" w:cs="Arial"/>
          <w:b/>
          <w:bCs/>
          <w:sz w:val="18"/>
          <w:szCs w:val="18"/>
        </w:rPr>
        <w:t>)</w:t>
      </w:r>
      <w:r w:rsidRPr="00235EB1">
        <w:rPr>
          <w:rFonts w:ascii="Arial" w:hAnsi="Arial" w:cs="Arial"/>
          <w:bCs/>
          <w:sz w:val="18"/>
          <w:szCs w:val="18"/>
        </w:rPr>
        <w:t xml:space="preserve">” - </w:t>
      </w:r>
      <w:r w:rsidRPr="00235EB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w:t>
      </w:r>
      <w:r w:rsidRPr="00235EB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35EB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35EB1">
        <w:rPr>
          <w:rFonts w:ascii="Arial" w:hAnsi="Arial" w:cs="Arial"/>
          <w:b/>
          <w:bCs/>
          <w:sz w:val="18"/>
          <w:szCs w:val="18"/>
        </w:rPr>
        <w:t xml:space="preserve">w trybie art. 77 § 1 usp na czas nieokreślony lub na czas określony orzekających </w:t>
      </w:r>
      <w:r w:rsidRPr="00235EB1">
        <w:rPr>
          <w:rFonts w:ascii="Arial" w:hAnsi="Arial" w:cs="Arial"/>
          <w:b/>
          <w:bCs/>
          <w:sz w:val="18"/>
          <w:szCs w:val="18"/>
          <w:u w:val="single"/>
        </w:rPr>
        <w:t>w niepełnym wymiarze</w:t>
      </w:r>
      <w:r w:rsidRPr="00235EB1">
        <w:rPr>
          <w:rFonts w:ascii="Arial" w:hAnsi="Arial" w:cs="Arial"/>
          <w:b/>
          <w:bCs/>
          <w:sz w:val="18"/>
          <w:szCs w:val="18"/>
        </w:rPr>
        <w:t xml:space="preserve"> w SO. W obsadę nie wliczamy </w:t>
      </w:r>
      <w:r w:rsidRPr="00235EB1">
        <w:rPr>
          <w:rFonts w:ascii="Arial" w:hAnsi="Arial" w:cs="Arial"/>
          <w:b/>
          <w:bCs/>
          <w:sz w:val="18"/>
          <w:szCs w:val="18"/>
          <w:u w:val="single"/>
        </w:rPr>
        <w:t xml:space="preserve">okresów delegacji </w:t>
      </w:r>
      <w:r w:rsidRPr="00235EB1">
        <w:rPr>
          <w:rFonts w:ascii="Arial" w:hAnsi="Arial" w:cs="Arial"/>
          <w:b/>
          <w:bCs/>
          <w:sz w:val="18"/>
          <w:szCs w:val="18"/>
        </w:rPr>
        <w:t xml:space="preserve">sędziów SR do Ministerstwa Sprawiedliwości, KSSiP i nie wliczamy </w:t>
      </w:r>
      <w:r w:rsidRPr="00235EB1">
        <w:rPr>
          <w:rFonts w:ascii="Arial" w:hAnsi="Arial" w:cs="Arial"/>
          <w:b/>
          <w:bCs/>
          <w:sz w:val="18"/>
          <w:szCs w:val="18"/>
          <w:u w:val="single"/>
        </w:rPr>
        <w:t>okresów delegacji</w:t>
      </w:r>
      <w:r w:rsidRPr="00235EB1">
        <w:rPr>
          <w:rFonts w:ascii="Arial" w:hAnsi="Arial" w:cs="Arial"/>
          <w:b/>
          <w:bCs/>
          <w:sz w:val="18"/>
          <w:szCs w:val="18"/>
        </w:rPr>
        <w:t xml:space="preserve"> w trybie art. 77 § 1 usp na czas nieokreślony lub na czas określony orzekających w pełnym wymiarze w S.O.</w:t>
      </w:r>
      <w:r w:rsidRPr="00235EB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35EB1">
        <w:rPr>
          <w:rFonts w:ascii="Arial" w:hAnsi="Arial" w:cs="Arial"/>
          <w:b/>
          <w:bCs/>
          <w:sz w:val="18"/>
          <w:szCs w:val="18"/>
        </w:rPr>
        <w:t xml:space="preserve"> (to samo dotyczy sędziów wykonujący czynności orzecznicze na mocy ustawy)</w:t>
      </w:r>
      <w:r w:rsidRPr="00235EB1">
        <w:rPr>
          <w:rFonts w:ascii="Arial" w:hAnsi="Arial" w:cs="Arial"/>
          <w:sz w:val="18"/>
          <w:szCs w:val="18"/>
        </w:rPr>
        <w:t>.</w:t>
      </w:r>
      <w:r w:rsidRPr="00235EB1">
        <w:rPr>
          <w:rFonts w:ascii="Arial" w:hAnsi="Arial" w:cs="Arial"/>
          <w:bCs/>
          <w:sz w:val="18"/>
          <w:szCs w:val="18"/>
        </w:rPr>
        <w:t xml:space="preserve"> W kolejnej kolumnie wykazujemy liczbę sędziów tj.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lastRenderedPageBreak/>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w:t>
      </w:r>
      <w:r w:rsidRPr="00235EB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Cs/>
          <w:sz w:val="18"/>
          <w:szCs w:val="18"/>
        </w:rPr>
        <w:t>„</w:t>
      </w: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 </w:t>
      </w:r>
      <w:r w:rsidRPr="00235EB1">
        <w:rPr>
          <w:rFonts w:ascii="Arial" w:hAnsi="Arial" w:cs="Arial"/>
          <w:b/>
          <w:bCs/>
          <w:sz w:val="18"/>
          <w:szCs w:val="18"/>
          <w:u w:val="single"/>
        </w:rPr>
        <w:t>wersja I</w:t>
      </w:r>
      <w:r w:rsidRPr="00235EB1">
        <w:rPr>
          <w:rFonts w:ascii="Arial" w:hAnsi="Arial" w:cs="Arial"/>
          <w:bCs/>
          <w:sz w:val="18"/>
          <w:szCs w:val="18"/>
        </w:rPr>
        <w:t xml:space="preserve">” </w:t>
      </w:r>
      <w:r w:rsidRPr="00235EB1">
        <w:rPr>
          <w:rFonts w:ascii="Arial" w:hAnsi="Arial" w:cs="Arial"/>
          <w:sz w:val="18"/>
          <w:szCs w:val="18"/>
        </w:rPr>
        <w:t xml:space="preserve">wykazuje się według średniookresowego zatrudnienia </w:t>
      </w:r>
      <w:r w:rsidRPr="00235EB1">
        <w:rPr>
          <w:rFonts w:ascii="Arial" w:hAnsi="Arial" w:cs="Arial"/>
          <w:bCs/>
          <w:sz w:val="18"/>
          <w:szCs w:val="18"/>
        </w:rPr>
        <w:t xml:space="preserve">po wcześniejszym ustaleniu, które z osób funkcyjnych w danym pionie orzekają, </w:t>
      </w:r>
      <w:r w:rsidRPr="00235EB1">
        <w:rPr>
          <w:rFonts w:ascii="Arial" w:hAnsi="Arial" w:cs="Arial"/>
          <w:sz w:val="18"/>
          <w:szCs w:val="18"/>
        </w:rPr>
        <w:t xml:space="preserve">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35EB1">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235EB1">
        <w:rPr>
          <w:rFonts w:ascii="Arial" w:hAnsi="Arial" w:cs="Arial"/>
          <w:b/>
          <w:bCs/>
          <w:sz w:val="18"/>
          <w:szCs w:val="18"/>
          <w:u w:val="single"/>
        </w:rPr>
        <w:t xml:space="preserve"> </w:t>
      </w:r>
      <w:r w:rsidRPr="00235EB1">
        <w:rPr>
          <w:rFonts w:ascii="Arial" w:hAnsi="Arial" w:cs="Arial"/>
          <w:bCs/>
          <w:sz w:val="18"/>
          <w:szCs w:val="18"/>
        </w:rPr>
        <w:t xml:space="preserve">Liczbę dni </w:t>
      </w:r>
      <w:r w:rsidRPr="00235EB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35EB1">
        <w:rPr>
          <w:rFonts w:ascii="Arial" w:hAnsi="Arial" w:cs="Arial"/>
          <w:b/>
          <w:sz w:val="18"/>
          <w:szCs w:val="18"/>
          <w:u w:val="single"/>
        </w:rPr>
        <w:t>o ile nie ma możliwości określenia obsady w układzie okresowym</w:t>
      </w:r>
      <w:r w:rsidRPr="00235EB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35EB1">
        <w:rPr>
          <w:rFonts w:ascii="Arial" w:hAnsi="Arial" w:cs="Arial"/>
          <w:b/>
          <w:sz w:val="18"/>
          <w:szCs w:val="18"/>
          <w:u w:val="single"/>
        </w:rPr>
        <w:t>sytuacji czasowego określenia obowiązków orzeczniczych</w:t>
      </w:r>
      <w:r w:rsidRPr="00235EB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35EB1">
        <w:rPr>
          <w:rFonts w:ascii="Arial" w:hAnsi="Arial" w:cs="Arial"/>
          <w:bCs/>
          <w:sz w:val="18"/>
          <w:szCs w:val="18"/>
        </w:rPr>
        <w:t xml:space="preserve">Sędziowie funkcyjni SR (vide pkt 2 objaśnień do działu 9.1). </w:t>
      </w:r>
      <w:r w:rsidRPr="00235EB1">
        <w:rPr>
          <w:rFonts w:ascii="Arial" w:hAnsi="Arial" w:cs="Arial"/>
          <w:b/>
          <w:bCs/>
          <w:sz w:val="18"/>
          <w:szCs w:val="18"/>
        </w:rPr>
        <w:t xml:space="preserve">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w:t>
      </w:r>
      <w:r w:rsidRPr="00235EB1">
        <w:rPr>
          <w:rFonts w:ascii="Arial" w:hAnsi="Arial" w:cs="Arial"/>
          <w:b/>
          <w:bCs/>
          <w:sz w:val="18"/>
          <w:szCs w:val="18"/>
          <w:u w:val="single"/>
        </w:rPr>
        <w:t xml:space="preserve"> wersja II</w:t>
      </w:r>
      <w:r w:rsidRPr="00235EB1">
        <w:rPr>
          <w:rFonts w:ascii="Arial" w:hAnsi="Arial" w:cs="Arial"/>
          <w:bCs/>
          <w:sz w:val="18"/>
          <w:szCs w:val="18"/>
        </w:rPr>
        <w:t>” wykazuje się poprzez określenie proporcji ich orzekania</w:t>
      </w:r>
      <w:r w:rsidRPr="00235EB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35EB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lastRenderedPageBreak/>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 xml:space="preserve"> w ramach limitu</w:t>
      </w:r>
      <w:r w:rsidRPr="00235EB1">
        <w:rPr>
          <w:rFonts w:ascii="Arial" w:hAnsi="Arial" w:cs="Arial"/>
          <w:sz w:val="18"/>
          <w:szCs w:val="18"/>
        </w:rPr>
        <w:t xml:space="preserve"> delegowanych do pełnienia czynności w Ministerstwie Sprawiedliwości”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w ramach limitu</w:t>
      </w:r>
      <w:r w:rsidRPr="00235EB1">
        <w:rPr>
          <w:rFonts w:ascii="Arial" w:hAnsi="Arial" w:cs="Arial"/>
          <w:sz w:val="18"/>
          <w:szCs w:val="18"/>
        </w:rPr>
        <w:t xml:space="preserve"> (na ostatni dzień okresu statystycznego delegowanych do pełnienia czynności w Krajowej Szkole Sądownictwa i Prokuratury”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 xml:space="preserve">gdyż nieobecności, w tym urlopy, tych sędziów w tym okresie nie mają żadnego wpływu na pracę sądu okręgowego, a okresy nieobecności dotyczą pracy w </w:t>
      </w:r>
      <w:r w:rsidRPr="00235EB1">
        <w:rPr>
          <w:rFonts w:ascii="Arial" w:hAnsi="Arial" w:cs="Arial"/>
          <w:sz w:val="18"/>
          <w:szCs w:val="18"/>
        </w:rPr>
        <w:t>Krajowej Szkole Sądownictwa i Prokuratury</w:t>
      </w:r>
      <w:r w:rsidRPr="00235EB1">
        <w:rPr>
          <w:rFonts w:ascii="Arial" w:hAnsi="Arial" w:cs="Arial"/>
          <w:bCs/>
          <w:sz w:val="18"/>
          <w:szCs w:val="18"/>
        </w:rPr>
        <w:t>. W następnej kolumnie wykazujemy liczbę sędziów nie w ramach limitu etatów a jedynie podając liczbę osób których delegacja dotyczyła.</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1 usp na czas nieokreślony lub na czas określony orzekających w pełnym wymiarze w SO</w:t>
      </w:r>
      <w:r w:rsidRPr="00235EB1">
        <w:rPr>
          <w:rFonts w:ascii="Arial" w:hAnsi="Arial" w:cs="Arial"/>
          <w:bCs/>
          <w:sz w:val="18"/>
          <w:szCs w:val="18"/>
        </w:rPr>
        <w:t>” – wykazuje się</w:t>
      </w:r>
      <w:r w:rsidRPr="00235EB1">
        <w:rPr>
          <w:rFonts w:ascii="Arial" w:hAnsi="Arial" w:cs="Arial"/>
          <w:sz w:val="18"/>
          <w:szCs w:val="18"/>
        </w:rPr>
        <w:t xml:space="preserve"> według średniookresowego zatrudnienia bez względu na faktyczne dni świadczenia pracy w danym okresie statystycznym i jego okresy nieobecności </w:t>
      </w:r>
      <w:r w:rsidRPr="00235EB1">
        <w:rPr>
          <w:rFonts w:ascii="Arial" w:hAnsi="Arial" w:cs="Arial"/>
          <w:bCs/>
          <w:sz w:val="18"/>
          <w:szCs w:val="18"/>
        </w:rPr>
        <w:t>w pracy (zwolnienia lekarskie, urlopy itp.).</w:t>
      </w:r>
      <w:r w:rsidRPr="00235EB1">
        <w:rPr>
          <w:rFonts w:ascii="Arial" w:hAnsi="Arial" w:cs="Arial"/>
          <w:b/>
          <w:bCs/>
          <w:sz w:val="18"/>
          <w:szCs w:val="18"/>
        </w:rPr>
        <w:t xml:space="preserve"> </w:t>
      </w:r>
      <w:r w:rsidRPr="00235EB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235EB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8 i 9 usp”</w:t>
      </w:r>
      <w:r w:rsidRPr="00235EB1">
        <w:rPr>
          <w:rFonts w:ascii="Arial" w:hAnsi="Arial" w:cs="Arial"/>
          <w:bCs/>
          <w:sz w:val="18"/>
          <w:szCs w:val="18"/>
        </w:rPr>
        <w:t xml:space="preserve"> ­</w:t>
      </w:r>
      <w:r w:rsidRPr="00235EB1">
        <w:rPr>
          <w:rFonts w:ascii="Courier New" w:hAnsi="Courier New" w:cs="Courier New"/>
          <w:bCs/>
          <w:sz w:val="18"/>
          <w:szCs w:val="18"/>
        </w:rPr>
        <w:t xml:space="preserve"> w</w:t>
      </w:r>
      <w:r w:rsidRPr="00235EB1">
        <w:rPr>
          <w:rFonts w:ascii="Arial" w:hAnsi="Arial" w:cs="Arial"/>
          <w:bCs/>
          <w:sz w:val="18"/>
          <w:szCs w:val="18"/>
        </w:rPr>
        <w:t xml:space="preserve">ykazujemy </w:t>
      </w:r>
      <w:r w:rsidRPr="00235EB1">
        <w:rPr>
          <w:rFonts w:ascii="Arial" w:hAnsi="Arial" w:cs="Arial"/>
          <w:b/>
          <w:bCs/>
          <w:sz w:val="18"/>
          <w:szCs w:val="18"/>
        </w:rPr>
        <w:t>jedynie w</w:t>
      </w:r>
      <w:r w:rsidRPr="00235EB1">
        <w:rPr>
          <w:rFonts w:ascii="Arial" w:hAnsi="Arial" w:cs="Arial"/>
          <w:bCs/>
          <w:sz w:val="18"/>
          <w:szCs w:val="18"/>
        </w:rPr>
        <w:t xml:space="preserve"> przypadku delegacji </w:t>
      </w:r>
      <w:r w:rsidRPr="00235EB1">
        <w:rPr>
          <w:rFonts w:ascii="Arial" w:hAnsi="Arial" w:cs="Arial"/>
          <w:b/>
          <w:bCs/>
          <w:sz w:val="18"/>
          <w:szCs w:val="18"/>
        </w:rPr>
        <w:t>na nieprzerwany okres jednego miesiąca.</w:t>
      </w:r>
      <w:r w:rsidRPr="00235EB1">
        <w:rPr>
          <w:rFonts w:ascii="Arial" w:hAnsi="Arial" w:cs="Arial"/>
          <w:bCs/>
          <w:sz w:val="18"/>
          <w:szCs w:val="18"/>
        </w:rPr>
        <w:t xml:space="preserve"> Taki okres uwzględnia się w proporcji jednego miesiąca w danym okresie statystycznym, np. roku, a więc 1/12 </w:t>
      </w:r>
      <w:r w:rsidRPr="00235EB1">
        <w:rPr>
          <w:rFonts w:ascii="Arial" w:hAnsi="Arial" w:cs="Arial"/>
          <w:b/>
          <w:bCs/>
          <w:sz w:val="18"/>
          <w:szCs w:val="18"/>
        </w:rPr>
        <w:t>rocznej o</w:t>
      </w:r>
      <w:r w:rsidRPr="00235EB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w:t>
      </w:r>
      <w:r w:rsidRPr="00235EB1">
        <w:rPr>
          <w:rFonts w:ascii="Arial" w:hAnsi="Arial" w:cs="Arial"/>
          <w:sz w:val="18"/>
          <w:szCs w:val="18"/>
        </w:rPr>
        <w:t>Łączna liczba sesji w danym okresie statystycznym (rozprawy i posiedzenia) sędziów SR z wyłączeniami” -</w:t>
      </w:r>
      <w:r w:rsidRPr="00235EB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235EB1">
        <w:rPr>
          <w:rFonts w:ascii="Arial" w:hAnsi="Arial" w:cs="Arial"/>
          <w:b/>
          <w:bCs/>
          <w:sz w:val="18"/>
          <w:szCs w:val="18"/>
          <w:u w:val="single"/>
        </w:rPr>
        <w:t xml:space="preserve"> niefunkcyjnego,</w:t>
      </w:r>
      <w:r w:rsidRPr="00235EB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35EB1">
        <w:rPr>
          <w:rFonts w:ascii="Arial" w:hAnsi="Arial" w:cs="Arial"/>
          <w:b/>
          <w:bCs/>
          <w:sz w:val="18"/>
          <w:szCs w:val="18"/>
          <w:u w:val="single"/>
        </w:rPr>
        <w:t>niefunkcyjnego,</w:t>
      </w:r>
      <w:r w:rsidRPr="00235EB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w:t>
      </w:r>
      <w:r w:rsidRPr="00235EB1">
        <w:rPr>
          <w:rFonts w:ascii="Arial" w:hAnsi="Arial" w:cs="Arial"/>
          <w:bCs/>
          <w:sz w:val="18"/>
          <w:szCs w:val="18"/>
        </w:rPr>
        <w:lastRenderedPageBreak/>
        <w:t xml:space="preserve">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 </w:t>
      </w:r>
      <w:r w:rsidRPr="00235EB1">
        <w:rPr>
          <w:rFonts w:ascii="Arial" w:hAnsi="Arial" w:cs="Arial"/>
          <w:sz w:val="18"/>
        </w:rPr>
        <w:t>(Dz. Urz. Min. Sprawiedl. Nr 5, poz. 22, z późn. zm.)</w:t>
      </w:r>
      <w:r w:rsidRPr="00235EB1">
        <w:rPr>
          <w:rFonts w:ascii="Arial" w:hAnsi="Arial" w:cs="Arial"/>
          <w:bCs/>
          <w:sz w:val="18"/>
          <w:szCs w:val="18"/>
        </w:rPr>
        <w:t>.</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35EB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235EB1" w:rsidRPr="00235EB1" w:rsidRDefault="00235EB1" w:rsidP="00235EB1">
      <w:pPr>
        <w:spacing w:after="80" w:line="220" w:lineRule="exact"/>
        <w:outlineLvl w:val="0"/>
        <w:rPr>
          <w:rFonts w:ascii="Arial" w:hAnsi="Arial"/>
          <w:b/>
          <w:sz w:val="20"/>
          <w:szCs w:val="20"/>
        </w:rPr>
      </w:pPr>
      <w:r w:rsidRPr="00235EB1">
        <w:rPr>
          <w:rFonts w:ascii="Arial" w:hAnsi="Arial"/>
          <w:b/>
          <w:sz w:val="20"/>
          <w:szCs w:val="20"/>
        </w:rPr>
        <w:t>Dział 9.2. Obsada Sądu (Wydziału)</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35EB1" w:rsidRPr="00235EB1" w:rsidRDefault="00235EB1" w:rsidP="00235EB1">
      <w:pPr>
        <w:ind w:left="720"/>
        <w:jc w:val="both"/>
        <w:rPr>
          <w:rFonts w:ascii="Arial" w:hAnsi="Arial" w:cs="Arial"/>
          <w:sz w:val="18"/>
          <w:szCs w:val="18"/>
        </w:rPr>
      </w:pPr>
    </w:p>
    <w:p w:rsidR="00235EB1" w:rsidRPr="00235EB1" w:rsidRDefault="00235EB1" w:rsidP="00235EB1">
      <w:pPr>
        <w:ind w:left="360" w:hanging="360"/>
        <w:jc w:val="both"/>
        <w:rPr>
          <w:rFonts w:ascii="Arial" w:hAnsi="Arial" w:cs="Arial"/>
          <w:sz w:val="18"/>
          <w:szCs w:val="18"/>
        </w:rPr>
      </w:pPr>
      <w:r w:rsidRPr="00235EB1">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235EB1" w:rsidRPr="00235EB1" w:rsidRDefault="00235EB1" w:rsidP="00235EB1">
      <w:pPr>
        <w:ind w:left="360" w:hanging="360"/>
        <w:jc w:val="both"/>
        <w:rPr>
          <w:rFonts w:ascii="Arial" w:hAnsi="Arial" w:cs="Arial"/>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sz w:val="18"/>
          <w:szCs w:val="18"/>
        </w:rPr>
        <w:t xml:space="preserve">Dział 11.2. </w:t>
      </w:r>
      <w:r w:rsidRPr="00235EB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235EB1" w:rsidRDefault="00534D51" w:rsidP="00534D51">
      <w:pPr>
        <w:autoSpaceDE w:val="0"/>
        <w:autoSpaceDN w:val="0"/>
        <w:adjustRightInd w:val="0"/>
        <w:ind w:left="357"/>
        <w:jc w:val="both"/>
        <w:rPr>
          <w:rFonts w:ascii="Arial" w:hAnsi="Arial" w:cs="Arial"/>
          <w:bCs/>
          <w:sz w:val="18"/>
          <w:szCs w:val="18"/>
        </w:rPr>
      </w:pPr>
    </w:p>
    <w:p w:rsidR="00534D51" w:rsidRPr="00235EB1" w:rsidRDefault="00534D51" w:rsidP="00534D51">
      <w:pPr>
        <w:ind w:left="360" w:hanging="360"/>
        <w:jc w:val="both"/>
        <w:rPr>
          <w:rFonts w:ascii="Arial" w:hAnsi="Arial" w:cs="Arial"/>
          <w:bCs/>
          <w:sz w:val="18"/>
          <w:szCs w:val="18"/>
        </w:rPr>
      </w:pPr>
    </w:p>
    <w:sectPr w:rsidR="00534D51" w:rsidRPr="00235EB1"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A8" w:rsidRDefault="00D31FA8">
      <w:r>
        <w:separator/>
      </w:r>
    </w:p>
  </w:endnote>
  <w:endnote w:type="continuationSeparator" w:id="0">
    <w:p w:rsidR="00D31FA8" w:rsidRDefault="00D31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Default="00A5191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Pr="0011733D" w:rsidRDefault="00A51918" w:rsidP="00AE4930">
    <w:pPr>
      <w:pStyle w:val="Stopka"/>
      <w:jc w:val="center"/>
      <w:rPr>
        <w:rFonts w:ascii="Arial" w:hAnsi="Arial" w:cs="Arial"/>
        <w:sz w:val="16"/>
        <w:szCs w:val="16"/>
      </w:rPr>
    </w:pPr>
    <w:r w:rsidRPr="0011733D">
      <w:rPr>
        <w:rFonts w:ascii="Arial" w:hAnsi="Arial" w:cs="Arial"/>
        <w:sz w:val="16"/>
        <w:szCs w:val="16"/>
      </w:rPr>
      <w:t xml:space="preserve">Strona </w:t>
    </w:r>
    <w:r w:rsidR="00773959" w:rsidRPr="0011733D">
      <w:rPr>
        <w:rFonts w:ascii="Arial" w:hAnsi="Arial" w:cs="Arial"/>
        <w:b/>
        <w:bCs/>
        <w:sz w:val="16"/>
        <w:szCs w:val="16"/>
      </w:rPr>
      <w:fldChar w:fldCharType="begin"/>
    </w:r>
    <w:r w:rsidRPr="0011733D">
      <w:rPr>
        <w:rFonts w:ascii="Arial" w:hAnsi="Arial" w:cs="Arial"/>
        <w:b/>
        <w:bCs/>
        <w:sz w:val="16"/>
        <w:szCs w:val="16"/>
      </w:rPr>
      <w:instrText>PAGE</w:instrText>
    </w:r>
    <w:r w:rsidR="00773959" w:rsidRPr="0011733D">
      <w:rPr>
        <w:rFonts w:ascii="Arial" w:hAnsi="Arial" w:cs="Arial"/>
        <w:b/>
        <w:bCs/>
        <w:sz w:val="16"/>
        <w:szCs w:val="16"/>
      </w:rPr>
      <w:fldChar w:fldCharType="separate"/>
    </w:r>
    <w:r w:rsidR="00565DAB">
      <w:rPr>
        <w:rFonts w:ascii="Arial" w:hAnsi="Arial" w:cs="Arial"/>
        <w:b/>
        <w:bCs/>
        <w:noProof/>
        <w:sz w:val="16"/>
        <w:szCs w:val="16"/>
      </w:rPr>
      <w:t>4</w:t>
    </w:r>
    <w:r w:rsidR="00773959" w:rsidRPr="0011733D">
      <w:rPr>
        <w:rFonts w:ascii="Arial" w:hAnsi="Arial" w:cs="Arial"/>
        <w:b/>
        <w:bCs/>
        <w:sz w:val="16"/>
        <w:szCs w:val="16"/>
      </w:rPr>
      <w:fldChar w:fldCharType="end"/>
    </w:r>
    <w:r w:rsidRPr="0011733D">
      <w:rPr>
        <w:rFonts w:ascii="Arial" w:hAnsi="Arial" w:cs="Arial"/>
        <w:sz w:val="16"/>
        <w:szCs w:val="16"/>
      </w:rPr>
      <w:t xml:space="preserve"> z </w:t>
    </w:r>
    <w:r w:rsidR="00773959" w:rsidRPr="0011733D">
      <w:rPr>
        <w:rFonts w:ascii="Arial" w:hAnsi="Arial" w:cs="Arial"/>
        <w:b/>
        <w:bCs/>
        <w:sz w:val="16"/>
        <w:szCs w:val="16"/>
      </w:rPr>
      <w:fldChar w:fldCharType="begin"/>
    </w:r>
    <w:r w:rsidRPr="0011733D">
      <w:rPr>
        <w:rFonts w:ascii="Arial" w:hAnsi="Arial" w:cs="Arial"/>
        <w:b/>
        <w:bCs/>
        <w:sz w:val="16"/>
        <w:szCs w:val="16"/>
      </w:rPr>
      <w:instrText>NUMPAGES</w:instrText>
    </w:r>
    <w:r w:rsidR="00773959" w:rsidRPr="0011733D">
      <w:rPr>
        <w:rFonts w:ascii="Arial" w:hAnsi="Arial" w:cs="Arial"/>
        <w:b/>
        <w:bCs/>
        <w:sz w:val="16"/>
        <w:szCs w:val="16"/>
      </w:rPr>
      <w:fldChar w:fldCharType="separate"/>
    </w:r>
    <w:r w:rsidR="00565DAB">
      <w:rPr>
        <w:rFonts w:ascii="Arial" w:hAnsi="Arial" w:cs="Arial"/>
        <w:b/>
        <w:bCs/>
        <w:noProof/>
        <w:sz w:val="16"/>
        <w:szCs w:val="16"/>
      </w:rPr>
      <w:t>29</w:t>
    </w:r>
    <w:r w:rsidR="00773959"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Default="00A51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A8" w:rsidRDefault="00D31FA8">
      <w:r>
        <w:separator/>
      </w:r>
    </w:p>
  </w:footnote>
  <w:footnote w:type="continuationSeparator" w:id="0">
    <w:p w:rsidR="00D31FA8" w:rsidRDefault="00D31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Default="00A5191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Pr="00EA2E99" w:rsidRDefault="00A51918"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06.09.2019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18" w:rsidRDefault="00A5191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8"/>
  </w:num>
  <w:num w:numId="3">
    <w:abstractNumId w:val="6"/>
  </w:num>
  <w:num w:numId="4">
    <w:abstractNumId w:val="21"/>
  </w:num>
  <w:num w:numId="5">
    <w:abstractNumId w:val="18"/>
  </w:num>
  <w:num w:numId="6">
    <w:abstractNumId w:val="17"/>
  </w:num>
  <w:num w:numId="7">
    <w:abstractNumId w:val="13"/>
  </w:num>
  <w:num w:numId="8">
    <w:abstractNumId w:val="16"/>
  </w:num>
  <w:num w:numId="9">
    <w:abstractNumId w:val="9"/>
  </w:num>
  <w:num w:numId="10">
    <w:abstractNumId w:val="18"/>
  </w:num>
  <w:num w:numId="11">
    <w:abstractNumId w:val="2"/>
  </w:num>
  <w:num w:numId="12">
    <w:abstractNumId w:val="19"/>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D5"/>
    <w:rsid w:val="00001932"/>
    <w:rsid w:val="0000617B"/>
    <w:rsid w:val="00006A50"/>
    <w:rsid w:val="00007FDF"/>
    <w:rsid w:val="0001087A"/>
    <w:rsid w:val="00022998"/>
    <w:rsid w:val="00024432"/>
    <w:rsid w:val="00024A9F"/>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261B"/>
    <w:rsid w:val="0009323C"/>
    <w:rsid w:val="00093C9A"/>
    <w:rsid w:val="0009456E"/>
    <w:rsid w:val="00094D72"/>
    <w:rsid w:val="0009516A"/>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5F5B"/>
    <w:rsid w:val="002661F9"/>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8F4"/>
    <w:rsid w:val="00303C02"/>
    <w:rsid w:val="00305BF8"/>
    <w:rsid w:val="0031007A"/>
    <w:rsid w:val="00311099"/>
    <w:rsid w:val="003117F3"/>
    <w:rsid w:val="00312118"/>
    <w:rsid w:val="00313BAE"/>
    <w:rsid w:val="00316AF1"/>
    <w:rsid w:val="003171A3"/>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37DC0"/>
    <w:rsid w:val="00341EC8"/>
    <w:rsid w:val="00342586"/>
    <w:rsid w:val="00342AED"/>
    <w:rsid w:val="00345179"/>
    <w:rsid w:val="003459C7"/>
    <w:rsid w:val="0034702B"/>
    <w:rsid w:val="00347CF2"/>
    <w:rsid w:val="00353E9A"/>
    <w:rsid w:val="0035719B"/>
    <w:rsid w:val="003609B6"/>
    <w:rsid w:val="003621D6"/>
    <w:rsid w:val="003638D9"/>
    <w:rsid w:val="00363D21"/>
    <w:rsid w:val="00363FBE"/>
    <w:rsid w:val="00364C0D"/>
    <w:rsid w:val="00370C25"/>
    <w:rsid w:val="003713BB"/>
    <w:rsid w:val="00372C38"/>
    <w:rsid w:val="00372CAE"/>
    <w:rsid w:val="00374845"/>
    <w:rsid w:val="00374CB9"/>
    <w:rsid w:val="00375C55"/>
    <w:rsid w:val="003766A4"/>
    <w:rsid w:val="003812A3"/>
    <w:rsid w:val="00384A1D"/>
    <w:rsid w:val="00390561"/>
    <w:rsid w:val="00391581"/>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5227"/>
    <w:rsid w:val="003C5844"/>
    <w:rsid w:val="003C6D0F"/>
    <w:rsid w:val="003C758C"/>
    <w:rsid w:val="003D2BDB"/>
    <w:rsid w:val="003D30A6"/>
    <w:rsid w:val="003D396D"/>
    <w:rsid w:val="003D4213"/>
    <w:rsid w:val="003D4727"/>
    <w:rsid w:val="003D5E88"/>
    <w:rsid w:val="003D7C08"/>
    <w:rsid w:val="003D7C25"/>
    <w:rsid w:val="003E0B85"/>
    <w:rsid w:val="003E41E9"/>
    <w:rsid w:val="003F00A7"/>
    <w:rsid w:val="003F0B69"/>
    <w:rsid w:val="003F168F"/>
    <w:rsid w:val="003F6127"/>
    <w:rsid w:val="003F66D7"/>
    <w:rsid w:val="003F6F51"/>
    <w:rsid w:val="004013B7"/>
    <w:rsid w:val="00401843"/>
    <w:rsid w:val="00402E48"/>
    <w:rsid w:val="0040332C"/>
    <w:rsid w:val="004037B1"/>
    <w:rsid w:val="00404622"/>
    <w:rsid w:val="00404FB0"/>
    <w:rsid w:val="004053D9"/>
    <w:rsid w:val="00406EF6"/>
    <w:rsid w:val="004103FD"/>
    <w:rsid w:val="00410DFB"/>
    <w:rsid w:val="00411EC8"/>
    <w:rsid w:val="00412B07"/>
    <w:rsid w:val="00413D71"/>
    <w:rsid w:val="004161F3"/>
    <w:rsid w:val="0041723A"/>
    <w:rsid w:val="00420C8C"/>
    <w:rsid w:val="00420D0F"/>
    <w:rsid w:val="004216E7"/>
    <w:rsid w:val="00422738"/>
    <w:rsid w:val="004228DB"/>
    <w:rsid w:val="00424397"/>
    <w:rsid w:val="00424AA9"/>
    <w:rsid w:val="00425618"/>
    <w:rsid w:val="00425986"/>
    <w:rsid w:val="00430F8A"/>
    <w:rsid w:val="00431F90"/>
    <w:rsid w:val="0043241E"/>
    <w:rsid w:val="00432B56"/>
    <w:rsid w:val="00435B40"/>
    <w:rsid w:val="0043755A"/>
    <w:rsid w:val="0043758D"/>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4502"/>
    <w:rsid w:val="004B6337"/>
    <w:rsid w:val="004B7052"/>
    <w:rsid w:val="004B7C3E"/>
    <w:rsid w:val="004C0FF4"/>
    <w:rsid w:val="004C1031"/>
    <w:rsid w:val="004C5455"/>
    <w:rsid w:val="004C59BC"/>
    <w:rsid w:val="004C7661"/>
    <w:rsid w:val="004D01BA"/>
    <w:rsid w:val="004D101D"/>
    <w:rsid w:val="004D1F06"/>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4F7"/>
    <w:rsid w:val="005118B2"/>
    <w:rsid w:val="00511D53"/>
    <w:rsid w:val="0051423A"/>
    <w:rsid w:val="00514B3E"/>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65DAB"/>
    <w:rsid w:val="005709F0"/>
    <w:rsid w:val="00571639"/>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EC1"/>
    <w:rsid w:val="00634FB1"/>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392E"/>
    <w:rsid w:val="00754204"/>
    <w:rsid w:val="00760FA7"/>
    <w:rsid w:val="00761521"/>
    <w:rsid w:val="00761632"/>
    <w:rsid w:val="00763432"/>
    <w:rsid w:val="00763584"/>
    <w:rsid w:val="00765629"/>
    <w:rsid w:val="00766122"/>
    <w:rsid w:val="00766F5A"/>
    <w:rsid w:val="00771ACA"/>
    <w:rsid w:val="007722D3"/>
    <w:rsid w:val="007735CF"/>
    <w:rsid w:val="00773959"/>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4BF0"/>
    <w:rsid w:val="008369CB"/>
    <w:rsid w:val="00840624"/>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35F6"/>
    <w:rsid w:val="00885B1D"/>
    <w:rsid w:val="00886FC3"/>
    <w:rsid w:val="0088758E"/>
    <w:rsid w:val="00891A4B"/>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C0AA6"/>
    <w:rsid w:val="008C44D4"/>
    <w:rsid w:val="008C791B"/>
    <w:rsid w:val="008D01C2"/>
    <w:rsid w:val="008D0441"/>
    <w:rsid w:val="008D256B"/>
    <w:rsid w:val="008D2B75"/>
    <w:rsid w:val="008D4154"/>
    <w:rsid w:val="008D4BF0"/>
    <w:rsid w:val="008D5DEB"/>
    <w:rsid w:val="008D6C83"/>
    <w:rsid w:val="008E0410"/>
    <w:rsid w:val="008E238A"/>
    <w:rsid w:val="008E49DE"/>
    <w:rsid w:val="008E4D50"/>
    <w:rsid w:val="008E5E91"/>
    <w:rsid w:val="008E650A"/>
    <w:rsid w:val="008E7048"/>
    <w:rsid w:val="008E72A5"/>
    <w:rsid w:val="008F09DE"/>
    <w:rsid w:val="008F1258"/>
    <w:rsid w:val="008F1D55"/>
    <w:rsid w:val="008F41FD"/>
    <w:rsid w:val="008F4B97"/>
    <w:rsid w:val="008F4C52"/>
    <w:rsid w:val="00900DBA"/>
    <w:rsid w:val="009027AD"/>
    <w:rsid w:val="009028AE"/>
    <w:rsid w:val="00902D6C"/>
    <w:rsid w:val="00903AA9"/>
    <w:rsid w:val="00906AAB"/>
    <w:rsid w:val="00912199"/>
    <w:rsid w:val="00912BE0"/>
    <w:rsid w:val="009135A4"/>
    <w:rsid w:val="009149B9"/>
    <w:rsid w:val="00916D26"/>
    <w:rsid w:val="00917306"/>
    <w:rsid w:val="009176E6"/>
    <w:rsid w:val="00921595"/>
    <w:rsid w:val="00922365"/>
    <w:rsid w:val="00925A90"/>
    <w:rsid w:val="00927EF8"/>
    <w:rsid w:val="009328B9"/>
    <w:rsid w:val="009331CA"/>
    <w:rsid w:val="009337B3"/>
    <w:rsid w:val="0093400F"/>
    <w:rsid w:val="0093645A"/>
    <w:rsid w:val="0093733C"/>
    <w:rsid w:val="00937A41"/>
    <w:rsid w:val="009410CA"/>
    <w:rsid w:val="009417DA"/>
    <w:rsid w:val="00941941"/>
    <w:rsid w:val="00941E50"/>
    <w:rsid w:val="00943498"/>
    <w:rsid w:val="00943672"/>
    <w:rsid w:val="00945FB1"/>
    <w:rsid w:val="009506F2"/>
    <w:rsid w:val="00952884"/>
    <w:rsid w:val="009537EB"/>
    <w:rsid w:val="00956111"/>
    <w:rsid w:val="00962921"/>
    <w:rsid w:val="00963697"/>
    <w:rsid w:val="0096443E"/>
    <w:rsid w:val="00966A25"/>
    <w:rsid w:val="00967948"/>
    <w:rsid w:val="0097150E"/>
    <w:rsid w:val="009719B8"/>
    <w:rsid w:val="00972199"/>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5AC2"/>
    <w:rsid w:val="00A7647B"/>
    <w:rsid w:val="00A77729"/>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4670"/>
    <w:rsid w:val="00B552B5"/>
    <w:rsid w:val="00B556E2"/>
    <w:rsid w:val="00B56F75"/>
    <w:rsid w:val="00B56F8B"/>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16D"/>
    <w:rsid w:val="00B9577F"/>
    <w:rsid w:val="00B96C63"/>
    <w:rsid w:val="00B97918"/>
    <w:rsid w:val="00B97947"/>
    <w:rsid w:val="00B97EC0"/>
    <w:rsid w:val="00BA25AB"/>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9420E"/>
    <w:rsid w:val="00C962DC"/>
    <w:rsid w:val="00C97456"/>
    <w:rsid w:val="00CA0449"/>
    <w:rsid w:val="00CA15FC"/>
    <w:rsid w:val="00CA1DC5"/>
    <w:rsid w:val="00CA1F09"/>
    <w:rsid w:val="00CA256C"/>
    <w:rsid w:val="00CA3F00"/>
    <w:rsid w:val="00CA6AA0"/>
    <w:rsid w:val="00CA6E8C"/>
    <w:rsid w:val="00CB0A70"/>
    <w:rsid w:val="00CB28FE"/>
    <w:rsid w:val="00CB43FF"/>
    <w:rsid w:val="00CB53ED"/>
    <w:rsid w:val="00CB56C7"/>
    <w:rsid w:val="00CB6188"/>
    <w:rsid w:val="00CB6F5C"/>
    <w:rsid w:val="00CC2704"/>
    <w:rsid w:val="00CC2AA4"/>
    <w:rsid w:val="00CC310E"/>
    <w:rsid w:val="00CC3514"/>
    <w:rsid w:val="00CC7844"/>
    <w:rsid w:val="00CD1459"/>
    <w:rsid w:val="00CD76A8"/>
    <w:rsid w:val="00CE052A"/>
    <w:rsid w:val="00CE0619"/>
    <w:rsid w:val="00CE077F"/>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24D32"/>
    <w:rsid w:val="00D24DED"/>
    <w:rsid w:val="00D25335"/>
    <w:rsid w:val="00D2662B"/>
    <w:rsid w:val="00D27938"/>
    <w:rsid w:val="00D303AA"/>
    <w:rsid w:val="00D30B9A"/>
    <w:rsid w:val="00D31FA8"/>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219F"/>
    <w:rsid w:val="00DA2A1D"/>
    <w:rsid w:val="00DA5AAC"/>
    <w:rsid w:val="00DA6CC6"/>
    <w:rsid w:val="00DA7CFE"/>
    <w:rsid w:val="00DB45B2"/>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50F3"/>
    <w:rsid w:val="00E05A27"/>
    <w:rsid w:val="00E07E21"/>
    <w:rsid w:val="00E07F88"/>
    <w:rsid w:val="00E10F91"/>
    <w:rsid w:val="00E168D1"/>
    <w:rsid w:val="00E169ED"/>
    <w:rsid w:val="00E16CA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7324"/>
    <w:rsid w:val="00ED2281"/>
    <w:rsid w:val="00ED25EF"/>
    <w:rsid w:val="00ED418F"/>
    <w:rsid w:val="00EE364E"/>
    <w:rsid w:val="00EE498E"/>
    <w:rsid w:val="00EE5F26"/>
    <w:rsid w:val="00EE5F73"/>
    <w:rsid w:val="00EE7502"/>
    <w:rsid w:val="00EE76CB"/>
    <w:rsid w:val="00EF022E"/>
    <w:rsid w:val="00EF104C"/>
    <w:rsid w:val="00EF1938"/>
    <w:rsid w:val="00EF3B54"/>
    <w:rsid w:val="00EF51EA"/>
    <w:rsid w:val="00EF5909"/>
    <w:rsid w:val="00EF70B0"/>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7DF87-7C2E-4D6D-BA2A-5322B96C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15802</Words>
  <Characters>94812</Characters>
  <Application>Microsoft Office Word</Application>
  <DocSecurity>0</DocSecurity>
  <Lines>790</Lines>
  <Paragraphs>220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3</cp:revision>
  <cp:lastPrinted>2012-06-12T07:00:00Z</cp:lastPrinted>
  <dcterms:created xsi:type="dcterms:W3CDTF">2019-09-06T09:07:00Z</dcterms:created>
  <dcterms:modified xsi:type="dcterms:W3CDTF">2019-09-06T09:07:00Z</dcterms:modified>
</cp:coreProperties>
</file>