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57C" w:rsidRPr="00163C1A" w:rsidRDefault="00A30976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  <w:t xml:space="preserve">         </w:t>
      </w:r>
      <w:r w:rsidR="004115B4" w:rsidRPr="00163C1A">
        <w:rPr>
          <w:rFonts w:cs="Times New Roman"/>
        </w:rPr>
        <w:t xml:space="preserve">     </w:t>
      </w:r>
      <w:r w:rsidRPr="00163C1A">
        <w:rPr>
          <w:rFonts w:cs="Times New Roman"/>
        </w:rPr>
        <w:t>Stalowa Wola, dn</w:t>
      </w:r>
      <w:r w:rsidR="004115B4" w:rsidRPr="00163C1A">
        <w:rPr>
          <w:rFonts w:cs="Times New Roman"/>
        </w:rPr>
        <w:t>.</w:t>
      </w:r>
      <w:r w:rsidRPr="00163C1A">
        <w:rPr>
          <w:rFonts w:cs="Times New Roman"/>
        </w:rPr>
        <w:t xml:space="preserve"> 16.06. 2023 r.</w:t>
      </w:r>
    </w:p>
    <w:p w:rsidR="00A30976" w:rsidRPr="00163C1A" w:rsidRDefault="00A30976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>----------------------------------------</w:t>
      </w:r>
    </w:p>
    <w:p w:rsidR="00A30976" w:rsidRPr="00163C1A" w:rsidRDefault="00A30976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 xml:space="preserve"> ( imię i nazwisko kandydata)</w:t>
      </w:r>
    </w:p>
    <w:p w:rsidR="00A30976" w:rsidRPr="00163C1A" w:rsidRDefault="00A30976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D7701E" w:rsidRDefault="00163C1A" w:rsidP="00D7701E">
      <w:pPr>
        <w:autoSpaceDE w:val="0"/>
        <w:adjustRightInd w:val="0"/>
        <w:spacing w:line="360" w:lineRule="auto"/>
        <w:ind w:left="180"/>
        <w:rPr>
          <w:rFonts w:cs="Times New Roman"/>
        </w:rPr>
      </w:pPr>
      <w:r w:rsidRPr="00163C1A">
        <w:rPr>
          <w:rFonts w:cs="Times New Roman"/>
          <w:b/>
          <w:sz w:val="28"/>
          <w:szCs w:val="28"/>
        </w:rPr>
        <w:t>K</w:t>
      </w:r>
      <w:r w:rsidR="00A30976" w:rsidRPr="00163C1A">
        <w:rPr>
          <w:rFonts w:cs="Times New Roman"/>
          <w:b/>
          <w:sz w:val="28"/>
          <w:szCs w:val="28"/>
        </w:rPr>
        <w:t>ONKURS NA STANOWISKO REFERENDARZA SĄDOWEGO A.111-2/23</w:t>
      </w:r>
      <w:r w:rsidR="00D7701E">
        <w:rPr>
          <w:rFonts w:cs="Times New Roman"/>
        </w:rPr>
        <w:t xml:space="preserve">   </w:t>
      </w:r>
    </w:p>
    <w:p w:rsidR="00D7701E" w:rsidRDefault="00D7701E" w:rsidP="00D7701E">
      <w:pPr>
        <w:autoSpaceDE w:val="0"/>
        <w:adjustRightInd w:val="0"/>
        <w:spacing w:line="360" w:lineRule="auto"/>
        <w:ind w:left="18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         </w:t>
      </w:r>
    </w:p>
    <w:p w:rsidR="00A30976" w:rsidRPr="00163C1A" w:rsidRDefault="00D7701E" w:rsidP="00D7701E">
      <w:pPr>
        <w:autoSpaceDE w:val="0"/>
        <w:adjustRightInd w:val="0"/>
        <w:spacing w:line="360" w:lineRule="auto"/>
        <w:ind w:left="2307" w:firstLine="529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</w:t>
      </w:r>
      <w:r w:rsidR="00A30976" w:rsidRPr="00163C1A">
        <w:rPr>
          <w:rFonts w:cs="Times New Roman"/>
          <w:b/>
          <w:sz w:val="28"/>
          <w:szCs w:val="28"/>
        </w:rPr>
        <w:t xml:space="preserve">Praca konkursowa część I </w:t>
      </w:r>
    </w:p>
    <w:p w:rsidR="00D9357C" w:rsidRPr="00163C1A" w:rsidRDefault="00D9357C" w:rsidP="003C1357">
      <w:pPr>
        <w:autoSpaceDE w:val="0"/>
        <w:adjustRightInd w:val="0"/>
        <w:spacing w:line="360" w:lineRule="auto"/>
        <w:rPr>
          <w:rFonts w:cs="Times New Roman"/>
        </w:rPr>
      </w:pPr>
    </w:p>
    <w:p w:rsidR="00D9357C" w:rsidRPr="00163C1A" w:rsidRDefault="00D9357C" w:rsidP="00D7701E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t>Zgodnie z Kodeksem cywilnym spadkobierca nabywa spadek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z chwilą otwarcia spadku,</w:t>
      </w:r>
    </w:p>
    <w:p w:rsidR="00D9357C" w:rsidRPr="00163C1A" w:rsidRDefault="00D9357C" w:rsidP="003C1357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z chwilą złożenia oświadczenia o przyjęciu spadku,</w:t>
      </w:r>
    </w:p>
    <w:p w:rsidR="00D9357C" w:rsidRPr="00163C1A" w:rsidRDefault="00D9357C" w:rsidP="003C1357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z chwilą uprawomocnienia się postanowienia o stwierdzeniu nabycia spadku.</w:t>
      </w:r>
    </w:p>
    <w:p w:rsidR="00D9357C" w:rsidRPr="00163C1A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cywilnym warunek niemożliwy, jak również</w:t>
      </w:r>
      <w:r w:rsidR="007C21B5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>warunek przeciwny ustawie lub zasadom współżycia społecznego: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pociąga za sobą nieważność czynności prawnej, gdy jest rozwiązujący,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uważa się za niezastrzeżony, gdy jest rozwiązujący,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uważa się za niezastrzeżony, gdy jest zawieszający.</w:t>
      </w:r>
    </w:p>
    <w:p w:rsidR="00D9357C" w:rsidRPr="00163C1A" w:rsidRDefault="00D9357C" w:rsidP="003C1357">
      <w:pPr>
        <w:pStyle w:val="Akapitzlist"/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t>Zgodnie z Kodeksem cywilnym dla osoby prawnej, która nie może być reprezentowana lub prowadzić swoich spraw ze względu na brak organu albo brak w składzie organu uprawnionego do jej reprezentowania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ustanawia kuratora na okres nieprzekraczający roku,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ustanawia kuratora na czas oznaczony,</w:t>
      </w:r>
    </w:p>
    <w:p w:rsidR="00D9357C" w:rsidRDefault="00D9357C" w:rsidP="003C1357">
      <w:pPr>
        <w:pStyle w:val="Akapitzlist"/>
        <w:widowControl/>
        <w:numPr>
          <w:ilvl w:val="0"/>
          <w:numId w:val="2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ustanawia kuratora na czas nieoznaczony.</w:t>
      </w:r>
    </w:p>
    <w:p w:rsidR="00163C1A" w:rsidRPr="00163C1A" w:rsidRDefault="00163C1A" w:rsidP="00163C1A">
      <w:pPr>
        <w:pStyle w:val="Akapitzlist"/>
        <w:widowControl/>
        <w:suppressAutoHyphens w:val="0"/>
        <w:autoSpaceDN/>
        <w:spacing w:line="360" w:lineRule="auto"/>
        <w:ind w:left="862"/>
        <w:contextualSpacing/>
        <w:jc w:val="both"/>
        <w:textAlignment w:val="auto"/>
        <w:rPr>
          <w:rFonts w:cs="Times New Roman"/>
        </w:rPr>
      </w:pPr>
    </w:p>
    <w:p w:rsidR="00D9357C" w:rsidRPr="00163C1A" w:rsidRDefault="00D9357C" w:rsidP="00D7701E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cywilnym nieważne są oświadczenia woli: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złożone drugiej stronie za jej zgodą dla pozoru oraz w razie błędu co do treści czynności prawnej,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złożone pod wpływem bezprawnej groźby drugiej strony lub osoby </w:t>
      </w:r>
      <w:r w:rsidR="007C21B5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trzeciej oraz w razie błędu co do treści czynności prawnej wywołanego przez drugą stronę podstępnie,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złożone przez osobę, która z jakichkolwiek powodów znajdowała się w stanie </w:t>
      </w:r>
      <w:r w:rsidR="00D7701E">
        <w:rPr>
          <w:rFonts w:cs="Times New Roman"/>
        </w:rPr>
        <w:t xml:space="preserve">            </w:t>
      </w:r>
      <w:r w:rsidRPr="00163C1A">
        <w:rPr>
          <w:rFonts w:cs="Times New Roman"/>
        </w:rPr>
        <w:t xml:space="preserve">wyłączającym świadome albo swobodne powzięcie decyzji i wyrażenie woli oraz </w:t>
      </w:r>
      <w:r w:rsidR="00D7701E">
        <w:rPr>
          <w:rFonts w:cs="Times New Roman"/>
        </w:rPr>
        <w:t xml:space="preserve">      </w:t>
      </w:r>
      <w:r w:rsidRPr="00163C1A">
        <w:rPr>
          <w:rFonts w:cs="Times New Roman"/>
        </w:rPr>
        <w:t>złożone drugiej stronie za jej zgodą dla pozoru.</w:t>
      </w:r>
    </w:p>
    <w:p w:rsidR="00D9357C" w:rsidRPr="00163C1A" w:rsidRDefault="00D9357C" w:rsidP="00D7701E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lastRenderedPageBreak/>
        <w:t>Zgodnie z Kodeksem cywilnym ograniczonymi prawami rzeczowymi są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użytkowanie wieczyste, zastaw, hipoteka,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użytkowanie, spółdzielcze lokatorskie prawo do lokalu, hipoteka,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użytkowanie, spółdzielcze własnościowe prawo do lokalu, służebność.</w:t>
      </w:r>
    </w:p>
    <w:p w:rsidR="00D9357C" w:rsidRPr="00163C1A" w:rsidRDefault="00D9357C" w:rsidP="003C1357">
      <w:pPr>
        <w:spacing w:line="360" w:lineRule="auto"/>
        <w:ind w:left="709" w:hanging="283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cywilnym koniec terminu przedawnienia</w:t>
      </w:r>
      <w:r w:rsidR="00DF15CE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>prz</w:t>
      </w:r>
      <w:r w:rsidR="00A30976" w:rsidRPr="00163C1A">
        <w:rPr>
          <w:rFonts w:cs="Times New Roman"/>
          <w:b/>
        </w:rPr>
        <w:t>yp</w:t>
      </w:r>
      <w:r w:rsidRPr="00163C1A">
        <w:rPr>
          <w:rFonts w:cs="Times New Roman"/>
          <w:b/>
        </w:rPr>
        <w:t>ada na ostatni dzień roku kalendarzowego: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chyba że termin przedawnienia jest krótszy niż rok,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chyba, że termin przedawnienia jest krótszy niż dwa lata,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chyba, że termin przedawnienia jest krótszy niż trzy lata.</w:t>
      </w:r>
    </w:p>
    <w:p w:rsidR="00D9357C" w:rsidRPr="00163C1A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cywilnym, jeżeli wysokość odsetek wynikających z czynności</w:t>
      </w:r>
      <w:r w:rsidR="00D7701E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 xml:space="preserve"> prawnej przekracza wysokość odsetek </w:t>
      </w:r>
      <w:r w:rsidR="00A30976" w:rsidRPr="00163C1A">
        <w:rPr>
          <w:rFonts w:cs="Times New Roman"/>
          <w:b/>
        </w:rPr>
        <w:t xml:space="preserve">   </w:t>
      </w:r>
      <w:r w:rsidR="00DF15CE" w:rsidRPr="00163C1A">
        <w:rPr>
          <w:rFonts w:cs="Times New Roman"/>
          <w:b/>
        </w:rPr>
        <w:t>m</w:t>
      </w:r>
      <w:r w:rsidRPr="00163C1A">
        <w:rPr>
          <w:rFonts w:cs="Times New Roman"/>
          <w:b/>
        </w:rPr>
        <w:t>aksymalnych: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należą się odsetki maksymalne,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należą się odsetki ustawowe,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należą się odsetki ustawowe za opóźnienie.</w:t>
      </w:r>
    </w:p>
    <w:p w:rsidR="00D9357C" w:rsidRPr="00163C1A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t>Zgodnie z Kodeksem cywilnym umowa najmu odrębnej własności</w:t>
      </w:r>
      <w:r w:rsidR="00A30976" w:rsidRPr="00163C1A">
        <w:rPr>
          <w:rFonts w:cs="Times New Roman"/>
          <w:b/>
        </w:rPr>
        <w:t xml:space="preserve">  </w:t>
      </w:r>
      <w:r w:rsidR="00163C1A">
        <w:rPr>
          <w:rFonts w:cs="Times New Roman"/>
          <w:b/>
        </w:rPr>
        <w:t>l</w:t>
      </w:r>
      <w:r w:rsidRPr="00163C1A">
        <w:rPr>
          <w:rFonts w:cs="Times New Roman"/>
          <w:b/>
        </w:rPr>
        <w:t>okalu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powinna być stwierdzona pismem pod rygorem nieważności o ile okres najmu </w:t>
      </w:r>
      <w:r w:rsidR="00D7701E">
        <w:rPr>
          <w:rFonts w:cs="Times New Roman"/>
        </w:rPr>
        <w:t xml:space="preserve">        </w:t>
      </w:r>
      <w:r w:rsidRPr="00163C1A">
        <w:rPr>
          <w:rFonts w:cs="Times New Roman"/>
        </w:rPr>
        <w:t>przekracza trzy lata,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powinna być stwierdzona pismem jeżeli okres najmu jest dłuższy niż rok, w przeciwnym wypadku przyjmuje się że umowa została zawarta na czas nieoznaczony,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2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powinna być zawarta w formie aktu notarialnego.</w:t>
      </w:r>
    </w:p>
    <w:p w:rsidR="00D9357C" w:rsidRPr="00163C1A" w:rsidRDefault="00D9357C" w:rsidP="003C1357">
      <w:pPr>
        <w:spacing w:line="360" w:lineRule="auto"/>
        <w:ind w:left="709" w:hanging="283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 xml:space="preserve">Zgodnie z Kodeksem postępowania cywilnego do właściwości sądu </w:t>
      </w:r>
      <w:r w:rsidR="00DF15CE" w:rsidRPr="00163C1A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>okręgowego należy sprawa: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o uzgodnienie treści księgi wieczystej z rzeczywistym stanem prawnym, w której </w:t>
      </w:r>
      <w:r w:rsidR="00D7701E">
        <w:rPr>
          <w:rFonts w:cs="Times New Roman"/>
        </w:rPr>
        <w:t xml:space="preserve">     </w:t>
      </w:r>
      <w:r w:rsidRPr="00163C1A">
        <w:rPr>
          <w:rFonts w:cs="Times New Roman"/>
        </w:rPr>
        <w:t>wartość przedmiotu sporu przewyższa siedemdziesiąt pięć tysięcy złotych,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o rozwiązanie przysposobienia,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o odszkodowanie z tytułu szkody wyrządzonej przez wydanie prawomocnego orzeczenia niezgodnego z prawem, w której wartość przedmiotu sporu nie przewyższa </w:t>
      </w:r>
      <w:r w:rsidR="00D7701E">
        <w:rPr>
          <w:rFonts w:cs="Times New Roman"/>
        </w:rPr>
        <w:t xml:space="preserve">               </w:t>
      </w:r>
      <w:r w:rsidRPr="00163C1A">
        <w:rPr>
          <w:rFonts w:cs="Times New Roman"/>
        </w:rPr>
        <w:t>siedemdziesięciu pięciu tysięcy złotych.</w:t>
      </w:r>
    </w:p>
    <w:p w:rsidR="00D9357C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Pr="00163C1A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t>Zgodnie z Kodeksem postępowania cywilnego, jeżeli pismo</w:t>
      </w:r>
      <w:r w:rsidR="00A30976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 xml:space="preserve">procesowe nie może otrzymać prawidłowego biegu wskutek </w:t>
      </w:r>
      <w:r w:rsidR="00A30976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 xml:space="preserve">niezachowania warunków formalnych lub jeżeli od pisma nie </w:t>
      </w:r>
      <w:r w:rsidR="00A30976" w:rsidRPr="00163C1A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 xml:space="preserve">uiszczono należnej opłaty, przewodniczący wzywa stronę, pod rygorem zwrócenia pisma, do poprawienia, uzupełnienia lub opłacenia go. Dla osoby zamieszkałej lub </w:t>
      </w:r>
      <w:r w:rsidR="00D7701E">
        <w:rPr>
          <w:rFonts w:cs="Times New Roman"/>
          <w:b/>
        </w:rPr>
        <w:t xml:space="preserve">      </w:t>
      </w:r>
      <w:r w:rsidRPr="00163C1A">
        <w:rPr>
          <w:rFonts w:cs="Times New Roman"/>
          <w:b/>
        </w:rPr>
        <w:t xml:space="preserve">mającej siedzibę poza terytorium Unii </w:t>
      </w:r>
      <w:r w:rsidR="00DF15CE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>Europejskiej, która ma w kraju przedstawiciela, termin na poprawienie, uzupełnienie lub opłacenie pisma procesowego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wynosi tydzień,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nie może być krótszy niż miesiąc,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nie może być krótszy niż trzy miesiące.</w:t>
      </w:r>
    </w:p>
    <w:p w:rsidR="00D9357C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Pr="00163C1A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cywilnego, jeżeli z uwagi na swą treść postanowienie o udzieleniu zabezpieczenia podlega wykonaniu</w:t>
      </w:r>
      <w:r w:rsidR="00C408BD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 xml:space="preserve">w inny sposób niż w drodze egzekucji, podstawą przeprowadzenia </w:t>
      </w:r>
      <w:r w:rsidR="00DF15CE" w:rsidRPr="00163C1A">
        <w:rPr>
          <w:rFonts w:cs="Times New Roman"/>
          <w:b/>
        </w:rPr>
        <w:t xml:space="preserve">  </w:t>
      </w:r>
      <w:r w:rsidR="00163C1A">
        <w:rPr>
          <w:rFonts w:cs="Times New Roman"/>
          <w:b/>
        </w:rPr>
        <w:t>p</w:t>
      </w:r>
      <w:r w:rsidRPr="00163C1A">
        <w:rPr>
          <w:rFonts w:cs="Times New Roman"/>
          <w:b/>
        </w:rPr>
        <w:t>ostępowania o wykonanie postanowienia o udzieleniu</w:t>
      </w:r>
      <w:r w:rsidR="00D7701E">
        <w:rPr>
          <w:rFonts w:cs="Times New Roman"/>
          <w:b/>
        </w:rPr>
        <w:t xml:space="preserve">   </w:t>
      </w:r>
      <w:r w:rsidRPr="00163C1A">
        <w:rPr>
          <w:rFonts w:cs="Times New Roman"/>
          <w:b/>
        </w:rPr>
        <w:t xml:space="preserve"> zabezpieczenia jest: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postanowienie o udzieleniu zabezpieczenia zaopatrzone </w:t>
      </w:r>
      <w:r w:rsidR="00163C1A">
        <w:rPr>
          <w:rFonts w:cs="Times New Roman"/>
        </w:rPr>
        <w:t xml:space="preserve"> </w:t>
      </w:r>
      <w:r w:rsidRPr="00163C1A">
        <w:rPr>
          <w:rFonts w:cs="Times New Roman"/>
        </w:rPr>
        <w:t>z urzędu przez sąd w klauzulę wykonalności,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postanowienie o udzieleniu zabezpieczenia zaopatrzone z urzędu przez przewodniczącego we wzmiankę</w:t>
      </w:r>
      <w:r w:rsidR="00C408BD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o wykonalności,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postanowienie o udzieleniu zabezpieczenia zaopatrzone na wniosek uprawnionego przez przewodniczącego we wzmiankę o wykonalności.</w:t>
      </w:r>
    </w:p>
    <w:p w:rsidR="00D9357C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Pr="00163C1A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c</w:t>
      </w:r>
      <w:r w:rsidR="00163C1A">
        <w:rPr>
          <w:rFonts w:cs="Times New Roman"/>
          <w:b/>
        </w:rPr>
        <w:t>yw</w:t>
      </w:r>
      <w:r w:rsidRPr="00163C1A">
        <w:rPr>
          <w:rFonts w:cs="Times New Roman"/>
          <w:b/>
        </w:rPr>
        <w:t>ilnego wniesienie skargi na</w:t>
      </w:r>
      <w:r w:rsidR="00DF15CE" w:rsidRPr="00163C1A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 xml:space="preserve"> postanowienie </w:t>
      </w:r>
      <w:r w:rsidR="00163C1A">
        <w:rPr>
          <w:rFonts w:cs="Times New Roman"/>
          <w:b/>
        </w:rPr>
        <w:t xml:space="preserve">    </w:t>
      </w:r>
      <w:r w:rsidR="00D7701E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 xml:space="preserve">referendarza sądowego o odmowie ustanowienia </w:t>
      </w:r>
      <w:r w:rsidR="00C408BD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>adwokata lub radcy prawnego: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3"/>
        </w:numPr>
        <w:suppressAutoHyphens w:val="0"/>
        <w:autoSpaceDN/>
        <w:spacing w:line="360" w:lineRule="auto"/>
        <w:ind w:left="851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wstrzymuje wykonalność tego postanowienia,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3"/>
        </w:numPr>
        <w:suppressAutoHyphens w:val="0"/>
        <w:autoSpaceDN/>
        <w:spacing w:line="360" w:lineRule="auto"/>
        <w:ind w:left="851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nie wstrzymuje wykonalności tego postanowienia,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3"/>
        </w:numPr>
        <w:suppressAutoHyphens w:val="0"/>
        <w:autoSpaceDN/>
        <w:spacing w:line="360" w:lineRule="auto"/>
        <w:ind w:left="851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skutkuje utratą mocy orzeczenia referendarza sądowego.</w:t>
      </w:r>
    </w:p>
    <w:p w:rsidR="00D9357C" w:rsidRDefault="00D9357C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7701E" w:rsidRPr="00163C1A" w:rsidRDefault="00D7701E" w:rsidP="003C1357">
      <w:pPr>
        <w:spacing w:line="360" w:lineRule="auto"/>
        <w:ind w:left="851" w:hanging="425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 xml:space="preserve">Zgodnie z Kodeksem postępowania cywilnego w nakazie zapłaty sąd nakazuje </w:t>
      </w:r>
      <w:r w:rsidR="00D7701E">
        <w:rPr>
          <w:rFonts w:cs="Times New Roman"/>
          <w:b/>
        </w:rPr>
        <w:t xml:space="preserve">             </w:t>
      </w:r>
      <w:r w:rsidRPr="00163C1A">
        <w:rPr>
          <w:rFonts w:cs="Times New Roman"/>
          <w:b/>
        </w:rPr>
        <w:t xml:space="preserve">pozwanemu, aby w terminie oznaczonym w nakazie zaspokoił roszczenie w całości wraz z </w:t>
      </w:r>
      <w:r w:rsidR="00D7701E">
        <w:rPr>
          <w:rFonts w:cs="Times New Roman"/>
          <w:b/>
        </w:rPr>
        <w:t xml:space="preserve">      </w:t>
      </w:r>
      <w:r w:rsidRPr="00163C1A">
        <w:rPr>
          <w:rFonts w:cs="Times New Roman"/>
          <w:b/>
        </w:rPr>
        <w:t xml:space="preserve">kosztami albo wniósł środek zaskarżenia. Termin na wniesienie środka zaskarżenia </w:t>
      </w:r>
      <w:r w:rsidR="00D7701E">
        <w:rPr>
          <w:rFonts w:cs="Times New Roman"/>
          <w:b/>
        </w:rPr>
        <w:t xml:space="preserve">   </w:t>
      </w:r>
      <w:r w:rsidRPr="00163C1A">
        <w:rPr>
          <w:rFonts w:cs="Times New Roman"/>
          <w:b/>
        </w:rPr>
        <w:t>wynosi: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4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dwa tygodnie od dnia doręczenia nakazu w przypadku nakazu zapłaty </w:t>
      </w:r>
      <w:r w:rsidR="00896406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 xml:space="preserve">wydanego w </w:t>
      </w:r>
      <w:r w:rsidR="00D7701E">
        <w:rPr>
          <w:rFonts w:cs="Times New Roman"/>
        </w:rPr>
        <w:t xml:space="preserve">         </w:t>
      </w:r>
      <w:r w:rsidRPr="00163C1A">
        <w:rPr>
          <w:rFonts w:cs="Times New Roman"/>
        </w:rPr>
        <w:t>postępowaniu nakazowym, gdy doręczenie nakazu pozwanemu ma mieć miejsce w kraju,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4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miesiąc od dnia doręczenia nakazu w przypadku nakazu zapłaty wydanego w postępowaniu nakazowym, gdy doręczenie nakazu pozwanemu ma mieć miejsce na terytorium Unii </w:t>
      </w:r>
      <w:r w:rsidR="00D7701E">
        <w:rPr>
          <w:rFonts w:cs="Times New Roman"/>
        </w:rPr>
        <w:t xml:space="preserve">      </w:t>
      </w:r>
      <w:r w:rsidRPr="00163C1A">
        <w:rPr>
          <w:rFonts w:cs="Times New Roman"/>
        </w:rPr>
        <w:t>Europejskiej,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4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dwa miesiące od dnia doręczenia nakazu, w przypadku gdy doręczenie </w:t>
      </w:r>
      <w:r w:rsidR="00896406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nakazu ma mieć miejsce poza terytorium Unii Europejskiej.</w:t>
      </w:r>
    </w:p>
    <w:p w:rsidR="004115B4" w:rsidRPr="00163C1A" w:rsidRDefault="004115B4" w:rsidP="003C1357">
      <w:pPr>
        <w:spacing w:line="360" w:lineRule="auto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  <w:b/>
        </w:rPr>
        <w:t xml:space="preserve">Zgodnie z Kodeksem postępowania cywilnego referendarz sądowy </w:t>
      </w:r>
      <w:r w:rsidR="00C408BD" w:rsidRPr="00163C1A">
        <w:rPr>
          <w:rFonts w:cs="Times New Roman"/>
          <w:b/>
        </w:rPr>
        <w:t xml:space="preserve"> </w:t>
      </w:r>
      <w:r w:rsidR="00DF15CE" w:rsidRPr="00163C1A">
        <w:rPr>
          <w:rFonts w:cs="Times New Roman"/>
          <w:b/>
        </w:rPr>
        <w:t xml:space="preserve"> </w:t>
      </w:r>
      <w:r w:rsidRPr="00163C1A">
        <w:rPr>
          <w:rFonts w:cs="Times New Roman"/>
          <w:b/>
        </w:rPr>
        <w:t>może wykonywać czynności</w:t>
      </w:r>
      <w:r w:rsidRPr="00163C1A">
        <w:rPr>
          <w:rFonts w:cs="Times New Roman"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5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 sprawach o stwierdzenie likwidacji niepodjętego depozytu,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5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 sprawach z zakresu prawa spadkowego dotyczących zabezpieczenia spadku,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5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w sprawach egzekucyjnych dotyczących nadzorowania przebiegu licytacji zajętej </w:t>
      </w:r>
      <w:r w:rsidR="00D7701E">
        <w:rPr>
          <w:rFonts w:cs="Times New Roman"/>
        </w:rPr>
        <w:t xml:space="preserve">            </w:t>
      </w:r>
      <w:r w:rsidRPr="00163C1A">
        <w:rPr>
          <w:rFonts w:cs="Times New Roman"/>
        </w:rPr>
        <w:t>nieruchomości.</w:t>
      </w:r>
    </w:p>
    <w:p w:rsidR="004115B4" w:rsidRPr="00163C1A" w:rsidRDefault="004115B4" w:rsidP="003C1357">
      <w:pPr>
        <w:spacing w:line="360" w:lineRule="auto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cywilnego w przypadku, gd</w:t>
      </w:r>
      <w:r w:rsidR="00163C1A">
        <w:rPr>
          <w:rFonts w:cs="Times New Roman"/>
          <w:b/>
        </w:rPr>
        <w:t>y</w:t>
      </w:r>
      <w:r w:rsidR="00C408BD" w:rsidRPr="00163C1A">
        <w:rPr>
          <w:rFonts w:cs="Times New Roman"/>
          <w:b/>
        </w:rPr>
        <w:t xml:space="preserve">  </w:t>
      </w:r>
      <w:r w:rsidR="00163C1A">
        <w:rPr>
          <w:rFonts w:cs="Times New Roman"/>
          <w:b/>
        </w:rPr>
        <w:t>t</w:t>
      </w:r>
      <w:r w:rsidRPr="00163C1A">
        <w:rPr>
          <w:rFonts w:cs="Times New Roman"/>
          <w:b/>
        </w:rPr>
        <w:t xml:space="preserve">ytułem </w:t>
      </w:r>
      <w:r w:rsidR="00163C1A">
        <w:rPr>
          <w:rFonts w:cs="Times New Roman"/>
          <w:b/>
        </w:rPr>
        <w:t xml:space="preserve">                     </w:t>
      </w:r>
      <w:r w:rsidRPr="00163C1A">
        <w:rPr>
          <w:rFonts w:cs="Times New Roman"/>
          <w:b/>
        </w:rPr>
        <w:t xml:space="preserve">egzekucyjnym nie jest orzeczenie sądu albo referendarza </w:t>
      </w:r>
      <w:r w:rsidR="00DF15CE" w:rsidRPr="00163C1A">
        <w:rPr>
          <w:rFonts w:cs="Times New Roman"/>
          <w:b/>
        </w:rPr>
        <w:t xml:space="preserve"> </w:t>
      </w:r>
      <w:r w:rsidR="00163C1A">
        <w:rPr>
          <w:rFonts w:cs="Times New Roman"/>
          <w:b/>
        </w:rPr>
        <w:t>są</w:t>
      </w:r>
      <w:r w:rsidRPr="00163C1A">
        <w:rPr>
          <w:rFonts w:cs="Times New Roman"/>
          <w:b/>
        </w:rPr>
        <w:t xml:space="preserve">dowego, sąd drugiej instancji, uwzględniając skargę wierzyciela na </w:t>
      </w:r>
      <w:r w:rsidR="00DF15CE" w:rsidRPr="00163C1A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 xml:space="preserve">postanowienie referendarza sądowego o odmowie nadania klauzuli </w:t>
      </w:r>
      <w:r w:rsidR="00C408BD" w:rsidRPr="00163C1A">
        <w:rPr>
          <w:rFonts w:cs="Times New Roman"/>
          <w:b/>
        </w:rPr>
        <w:t xml:space="preserve">  </w:t>
      </w:r>
      <w:r w:rsidR="00DF15CE" w:rsidRPr="00163C1A">
        <w:rPr>
          <w:rFonts w:cs="Times New Roman"/>
          <w:b/>
        </w:rPr>
        <w:t xml:space="preserve">  </w:t>
      </w:r>
      <w:r w:rsidRPr="00163C1A">
        <w:rPr>
          <w:rFonts w:cs="Times New Roman"/>
          <w:b/>
        </w:rPr>
        <w:t>wykonalności: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6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zmienia zaskarżone postanowienie, jeżeli zachodzą podstawy do nadania klauzuli </w:t>
      </w:r>
      <w:r w:rsidR="00D7701E">
        <w:rPr>
          <w:rFonts w:cs="Times New Roman"/>
        </w:rPr>
        <w:t xml:space="preserve">           </w:t>
      </w:r>
      <w:r w:rsidRPr="00163C1A">
        <w:rPr>
          <w:rFonts w:cs="Times New Roman"/>
        </w:rPr>
        <w:t>wykonalności,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6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uchyla zaskarżone postanowienie i przekazuje wniosek do ponownego </w:t>
      </w:r>
      <w:r w:rsidR="00896406" w:rsidRPr="00163C1A">
        <w:rPr>
          <w:rFonts w:cs="Times New Roman"/>
        </w:rPr>
        <w:t xml:space="preserve">    </w:t>
      </w:r>
      <w:r w:rsidRPr="00163C1A">
        <w:rPr>
          <w:rFonts w:cs="Times New Roman"/>
        </w:rPr>
        <w:t>rozpoznania, jeżeli zachodzą podstawy do nadania klauzuli wykonalności,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6"/>
        </w:numPr>
        <w:suppressAutoHyphens w:val="0"/>
        <w:autoSpaceDN/>
        <w:spacing w:line="360" w:lineRule="auto"/>
        <w:ind w:left="709" w:hanging="425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uchyla zaskarżone postanowienie, jeżeli zachodzą podstawy do nadania klauzuli </w:t>
      </w:r>
      <w:r w:rsidR="00D7701E">
        <w:rPr>
          <w:rFonts w:cs="Times New Roman"/>
        </w:rPr>
        <w:t xml:space="preserve">             </w:t>
      </w:r>
      <w:r w:rsidRPr="00163C1A">
        <w:rPr>
          <w:rFonts w:cs="Times New Roman"/>
        </w:rPr>
        <w:t>wykonalności.</w:t>
      </w:r>
    </w:p>
    <w:p w:rsidR="00D9357C" w:rsidRDefault="00D9357C" w:rsidP="00D7701E">
      <w:pPr>
        <w:spacing w:line="360" w:lineRule="auto"/>
        <w:ind w:left="709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709" w:hanging="142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709" w:hanging="142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709" w:hanging="142"/>
        <w:jc w:val="both"/>
        <w:rPr>
          <w:rFonts w:cs="Times New Roman"/>
        </w:rPr>
      </w:pPr>
    </w:p>
    <w:p w:rsidR="00D7701E" w:rsidRDefault="00D7701E" w:rsidP="003C1357">
      <w:pPr>
        <w:spacing w:line="360" w:lineRule="auto"/>
        <w:ind w:left="709" w:hanging="142"/>
        <w:jc w:val="both"/>
        <w:rPr>
          <w:rFonts w:cs="Times New Roman"/>
        </w:rPr>
      </w:pPr>
    </w:p>
    <w:p w:rsidR="0049615E" w:rsidRPr="00163C1A" w:rsidRDefault="0049615E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lastRenderedPageBreak/>
        <w:t>Zgodnie z Kodeksem postępowania cywilnego sąd rozstrzyga o  kosztach: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5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 każdym orzeczeniu kończącym postępowanie w danej instancji, sąd może jednak</w:t>
      </w:r>
      <w:r w:rsidR="00163C1A">
        <w:rPr>
          <w:rFonts w:cs="Times New Roman"/>
        </w:rPr>
        <w:t xml:space="preserve">            </w:t>
      </w:r>
      <w:r w:rsidRPr="00163C1A">
        <w:rPr>
          <w:rFonts w:cs="Times New Roman"/>
        </w:rPr>
        <w:t xml:space="preserve"> rozstrzygnąć jedynie o zasadach ponoszenia przez   strony kosztów procesu, pozostawiając szczegółowe wyliczenia    asystentowi sędziego,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5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w każdym orzeczeniu zapadłym w toku postępowania, sąd może </w:t>
      </w:r>
      <w:r w:rsidR="00896406" w:rsidRPr="00163C1A">
        <w:rPr>
          <w:rFonts w:cs="Times New Roman"/>
        </w:rPr>
        <w:t xml:space="preserve">  </w:t>
      </w:r>
      <w:r w:rsidRPr="00163C1A">
        <w:rPr>
          <w:rFonts w:cs="Times New Roman"/>
        </w:rPr>
        <w:t xml:space="preserve">jednak rozstrzygnąć </w:t>
      </w:r>
      <w:r w:rsidR="00163C1A">
        <w:rPr>
          <w:rFonts w:cs="Times New Roman"/>
        </w:rPr>
        <w:t xml:space="preserve">         </w:t>
      </w:r>
      <w:r w:rsidRPr="00163C1A">
        <w:rPr>
          <w:rFonts w:cs="Times New Roman"/>
        </w:rPr>
        <w:t xml:space="preserve">jedynie o zasadach ponoszenia przez strony kosztów procesu, pozostawiając szczegółowe </w:t>
      </w:r>
      <w:r w:rsidR="00163C1A">
        <w:rPr>
          <w:rFonts w:cs="Times New Roman"/>
        </w:rPr>
        <w:t xml:space="preserve">  </w:t>
      </w:r>
      <w:r w:rsidRPr="00163C1A">
        <w:rPr>
          <w:rFonts w:cs="Times New Roman"/>
        </w:rPr>
        <w:t xml:space="preserve">wyliczenia </w:t>
      </w:r>
      <w:r w:rsidR="00896406" w:rsidRPr="00163C1A">
        <w:rPr>
          <w:rFonts w:cs="Times New Roman"/>
        </w:rPr>
        <w:t xml:space="preserve">   </w:t>
      </w:r>
      <w:r w:rsidRPr="00163C1A">
        <w:rPr>
          <w:rFonts w:cs="Times New Roman"/>
        </w:rPr>
        <w:t xml:space="preserve">referendarzowi </w:t>
      </w:r>
      <w:r w:rsidR="00896406" w:rsidRPr="00163C1A">
        <w:rPr>
          <w:rFonts w:cs="Times New Roman"/>
        </w:rPr>
        <w:t xml:space="preserve">   </w:t>
      </w:r>
      <w:r w:rsidRPr="00163C1A">
        <w:rPr>
          <w:rFonts w:cs="Times New Roman"/>
        </w:rPr>
        <w:t>sądowemu,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5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w każdym orzeczeniu kończącym postępowanie w danej instancji, sąd może jednak </w:t>
      </w:r>
      <w:r w:rsidR="00163C1A">
        <w:rPr>
          <w:rFonts w:cs="Times New Roman"/>
        </w:rPr>
        <w:t xml:space="preserve">           </w:t>
      </w:r>
      <w:r w:rsidRPr="00163C1A">
        <w:rPr>
          <w:rFonts w:cs="Times New Roman"/>
        </w:rPr>
        <w:t xml:space="preserve">rozstrzygnąć jedynie o zasadach ponoszenia przez    strony kosztów procesu, pozostawiając szczegółowe wyliczenia </w:t>
      </w:r>
      <w:r w:rsidR="00896406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referendarzowi sądowemu,</w:t>
      </w:r>
    </w:p>
    <w:p w:rsidR="00163C1A" w:rsidRPr="00163C1A" w:rsidRDefault="00163C1A" w:rsidP="00ED4518">
      <w:pPr>
        <w:pStyle w:val="Akapitzlist"/>
        <w:widowControl/>
        <w:suppressAutoHyphens w:val="0"/>
        <w:autoSpaceDN/>
        <w:spacing w:line="360" w:lineRule="auto"/>
        <w:ind w:left="502"/>
        <w:contextualSpacing/>
        <w:jc w:val="both"/>
        <w:textAlignment w:val="auto"/>
        <w:rPr>
          <w:rFonts w:cs="Times New Roman"/>
        </w:rPr>
      </w:pPr>
    </w:p>
    <w:p w:rsidR="0049615E" w:rsidRPr="00163C1A" w:rsidRDefault="0049615E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cywilnego w toku sprawy adwokat, radca prawny doręczają sobie wzajemnie bezpośrednio:</w:t>
      </w:r>
    </w:p>
    <w:p w:rsidR="0049615E" w:rsidRPr="00163C1A" w:rsidRDefault="0049615E" w:rsidP="004A6798">
      <w:pPr>
        <w:pStyle w:val="Akapitzlist"/>
        <w:widowControl/>
        <w:numPr>
          <w:ilvl w:val="0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odpisy pism procesowych z załącznikami, a w treści pisma procesowego wniesionego do sądu zamieszczają oświadczenie o doręczeniu odpisu </w:t>
      </w:r>
      <w:r w:rsidR="00896406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drugiej stronie albo o jego nadaniu przesyłka poleconą,</w:t>
      </w:r>
    </w:p>
    <w:p w:rsidR="0049615E" w:rsidRPr="00163C1A" w:rsidRDefault="0049615E" w:rsidP="003C1357">
      <w:pPr>
        <w:pStyle w:val="Akapitzlist"/>
        <w:widowControl/>
        <w:numPr>
          <w:ilvl w:val="0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sprzeciw od wyroku zaocznego, sprzeciw od nakazu zapłaty, zarzuty od </w:t>
      </w:r>
      <w:r w:rsidR="00896406" w:rsidRPr="00163C1A">
        <w:rPr>
          <w:rFonts w:cs="Times New Roman"/>
        </w:rPr>
        <w:t xml:space="preserve">  </w:t>
      </w:r>
      <w:r w:rsidRPr="00163C1A">
        <w:rPr>
          <w:rFonts w:cs="Times New Roman"/>
        </w:rPr>
        <w:t xml:space="preserve">nakazu zapłaty, a w treści pisma procesowego wniesionego do   sądu </w:t>
      </w:r>
      <w:r w:rsidR="00896406" w:rsidRPr="00163C1A">
        <w:rPr>
          <w:rFonts w:cs="Times New Roman"/>
        </w:rPr>
        <w:t xml:space="preserve">    </w:t>
      </w:r>
      <w:r w:rsidRPr="00163C1A">
        <w:rPr>
          <w:rFonts w:cs="Times New Roman"/>
        </w:rPr>
        <w:t xml:space="preserve">zamieszczają oświadczenie o </w:t>
      </w:r>
      <w:r w:rsidR="00163C1A">
        <w:rPr>
          <w:rFonts w:cs="Times New Roman"/>
        </w:rPr>
        <w:t xml:space="preserve">         </w:t>
      </w:r>
      <w:r w:rsidRPr="00163C1A">
        <w:rPr>
          <w:rFonts w:cs="Times New Roman"/>
        </w:rPr>
        <w:t>doręczeniu odpisu drugiej stronie  albo o jego nadaniu przesyłka poleconą,</w:t>
      </w:r>
    </w:p>
    <w:p w:rsidR="0049615E" w:rsidRPr="00163C1A" w:rsidRDefault="0049615E" w:rsidP="003C1357">
      <w:pPr>
        <w:pStyle w:val="Akapitzlist"/>
        <w:widowControl/>
        <w:numPr>
          <w:ilvl w:val="0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skargę o wznowienie postępowania, skargę o stwierdzenie niezgodności z prawem </w:t>
      </w:r>
      <w:r w:rsidR="00D7701E">
        <w:rPr>
          <w:rFonts w:cs="Times New Roman"/>
        </w:rPr>
        <w:t xml:space="preserve">        </w:t>
      </w:r>
      <w:r w:rsidRPr="00163C1A">
        <w:rPr>
          <w:rFonts w:cs="Times New Roman"/>
        </w:rPr>
        <w:t xml:space="preserve">prawomocnego orzeczenia, powództwo wzajemne, a w treści pisma procesowego </w:t>
      </w:r>
      <w:r w:rsidR="00D7701E">
        <w:rPr>
          <w:rFonts w:cs="Times New Roman"/>
        </w:rPr>
        <w:t xml:space="preserve">         </w:t>
      </w:r>
      <w:r w:rsidRPr="00163C1A">
        <w:rPr>
          <w:rFonts w:cs="Times New Roman"/>
        </w:rPr>
        <w:t>wniesionego do sądu zamieszczają oświadczenie o doręczeniu odpisu drugiej stronie albo o jego nadaniu    przesyłka poleconą,</w:t>
      </w:r>
    </w:p>
    <w:p w:rsidR="0049615E" w:rsidRPr="00163C1A" w:rsidRDefault="0049615E" w:rsidP="003C1357">
      <w:pPr>
        <w:pStyle w:val="Akapitzlist"/>
        <w:spacing w:line="360" w:lineRule="auto"/>
        <w:ind w:left="1440"/>
        <w:jc w:val="both"/>
        <w:rPr>
          <w:rFonts w:cs="Times New Roman"/>
        </w:rPr>
      </w:pPr>
    </w:p>
    <w:p w:rsidR="0049615E" w:rsidRPr="00163C1A" w:rsidRDefault="0049615E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cywilnego sąd umarza postępowanie zawieszone na podstawie art. 177 § 1 pkt. 5 i 6 jeżeli</w:t>
      </w:r>
      <w:r w:rsidR="0095236B" w:rsidRPr="00163C1A">
        <w:rPr>
          <w:rFonts w:cs="Times New Roman"/>
          <w:b/>
        </w:rPr>
        <w:t>:</w:t>
      </w:r>
    </w:p>
    <w:p w:rsidR="0049615E" w:rsidRPr="00163C1A" w:rsidRDefault="0049615E" w:rsidP="004A6798">
      <w:pPr>
        <w:pStyle w:val="Akapitzlist"/>
        <w:widowControl/>
        <w:numPr>
          <w:ilvl w:val="1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wniosek o podjęcie postępowania nie został zgłoszony w ciągu roku od daty </w:t>
      </w:r>
      <w:r w:rsidR="00163C1A">
        <w:rPr>
          <w:rFonts w:cs="Times New Roman"/>
        </w:rPr>
        <w:t xml:space="preserve">        </w:t>
      </w:r>
      <w:r w:rsidRPr="00163C1A">
        <w:rPr>
          <w:rFonts w:cs="Times New Roman"/>
        </w:rPr>
        <w:t>postanowienia o zawieszeniu postępowania z tej przyczyny,</w:t>
      </w:r>
    </w:p>
    <w:p w:rsidR="0049615E" w:rsidRPr="00163C1A" w:rsidRDefault="0049615E" w:rsidP="004A6798">
      <w:pPr>
        <w:pStyle w:val="Akapitzlist"/>
        <w:widowControl/>
        <w:numPr>
          <w:ilvl w:val="1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wniosek o podjęcie postępowania nie został zgłoszony w ciągu trzech </w:t>
      </w:r>
      <w:r w:rsidR="00ED4518" w:rsidRPr="00163C1A">
        <w:rPr>
          <w:rFonts w:cs="Times New Roman"/>
        </w:rPr>
        <w:t xml:space="preserve">    </w:t>
      </w:r>
      <w:r w:rsidRPr="00163C1A">
        <w:rPr>
          <w:rFonts w:cs="Times New Roman"/>
        </w:rPr>
        <w:t>miesięcy od daty postanowienia o zawieszenia  postępowania,</w:t>
      </w:r>
    </w:p>
    <w:p w:rsidR="0049615E" w:rsidRPr="00163C1A" w:rsidRDefault="0049615E" w:rsidP="004A6798">
      <w:pPr>
        <w:pStyle w:val="Akapitzlist"/>
        <w:widowControl/>
        <w:numPr>
          <w:ilvl w:val="1"/>
          <w:numId w:val="6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wniosek o podjęcie postępowania nie został zgłoszony w ciągu sześciu miesięcy od daty postanowienia o zawieszeniu postępowania,</w:t>
      </w:r>
    </w:p>
    <w:p w:rsidR="0095236B" w:rsidRDefault="0095236B" w:rsidP="003C1357">
      <w:pPr>
        <w:pStyle w:val="Akapitzlist"/>
        <w:spacing w:line="360" w:lineRule="auto"/>
        <w:ind w:left="1440"/>
        <w:jc w:val="both"/>
        <w:rPr>
          <w:rFonts w:cs="Times New Roman"/>
        </w:rPr>
      </w:pPr>
    </w:p>
    <w:p w:rsidR="00D7701E" w:rsidRPr="00163C1A" w:rsidRDefault="00D7701E" w:rsidP="003C1357">
      <w:pPr>
        <w:pStyle w:val="Akapitzlist"/>
        <w:spacing w:line="360" w:lineRule="auto"/>
        <w:ind w:left="1440"/>
        <w:jc w:val="both"/>
        <w:rPr>
          <w:rFonts w:cs="Times New Roman"/>
        </w:rPr>
      </w:pPr>
    </w:p>
    <w:p w:rsidR="0049615E" w:rsidRPr="00163C1A" w:rsidRDefault="0049615E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lastRenderedPageBreak/>
        <w:t xml:space="preserve">Zgodnie z Kodeksem postępowania cywilnego w sprawach o  zobowiązanie osoby </w:t>
      </w:r>
      <w:r w:rsidR="00D7701E">
        <w:rPr>
          <w:rFonts w:cs="Times New Roman"/>
          <w:b/>
        </w:rPr>
        <w:t xml:space="preserve">       </w:t>
      </w:r>
      <w:r w:rsidRPr="00163C1A">
        <w:rPr>
          <w:rFonts w:cs="Times New Roman"/>
          <w:b/>
        </w:rPr>
        <w:t>stosującej przemoc w rodzinie do opuszczenia wspólnie zajmowanego mieszkania i jego bezpośredniego otoczenia lub zakazanie zbliżania się do mieszkania sąd rozpoznaje wniosek o udzielenie zabezpieczenia:</w:t>
      </w:r>
    </w:p>
    <w:p w:rsidR="0049615E" w:rsidRPr="00163C1A" w:rsidRDefault="0049615E" w:rsidP="004A1CFD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niezwłocznie, nie później niż w terminie trzech dni od dnia jego </w:t>
      </w:r>
      <w:r w:rsidR="00896406" w:rsidRPr="00163C1A">
        <w:rPr>
          <w:rFonts w:cs="Times New Roman"/>
        </w:rPr>
        <w:t xml:space="preserve"> </w:t>
      </w:r>
      <w:r w:rsidRPr="00163C1A">
        <w:rPr>
          <w:rFonts w:cs="Times New Roman"/>
        </w:rPr>
        <w:t>wpływu do sądu,</w:t>
      </w:r>
    </w:p>
    <w:p w:rsidR="0049615E" w:rsidRPr="00163C1A" w:rsidRDefault="0049615E" w:rsidP="004A1CFD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niezwłocznie, nie później niż w terminie siedmiu dni od dnia jego wpływu do sądu,</w:t>
      </w:r>
    </w:p>
    <w:p w:rsidR="0049615E" w:rsidRPr="00163C1A" w:rsidRDefault="0049615E" w:rsidP="004A1CFD">
      <w:pPr>
        <w:pStyle w:val="Akapitzlist"/>
        <w:widowControl/>
        <w:numPr>
          <w:ilvl w:val="1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niezwłocznie nie później niż w terminie dziesięciu dni od dnia jego wpływu do sądu.</w:t>
      </w:r>
    </w:p>
    <w:p w:rsidR="00ED4518" w:rsidRPr="00163C1A" w:rsidRDefault="00ED4518" w:rsidP="003C1357">
      <w:pPr>
        <w:pStyle w:val="Akapitzlist"/>
        <w:spacing w:line="360" w:lineRule="auto"/>
        <w:ind w:left="1440"/>
        <w:jc w:val="both"/>
        <w:rPr>
          <w:rFonts w:cs="Times New Roman"/>
        </w:rPr>
      </w:pPr>
    </w:p>
    <w:p w:rsidR="0049615E" w:rsidRPr="00163C1A" w:rsidRDefault="0049615E" w:rsidP="003C1357">
      <w:pPr>
        <w:pStyle w:val="Akapitzlist"/>
        <w:widowControl/>
        <w:numPr>
          <w:ilvl w:val="0"/>
          <w:numId w:val="2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/>
        </w:rPr>
      </w:pPr>
      <w:r w:rsidRPr="00163C1A">
        <w:rPr>
          <w:rFonts w:cs="Times New Roman"/>
          <w:b/>
        </w:rPr>
        <w:t>Udzielając zabezpieczenia przed wszczęciem postępowania: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6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może wyznaczyć termin w którym pismo wszczynające postępowanie powinno być wniesione,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6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wyznacza termin w którym pismo wszczynające</w:t>
      </w:r>
      <w:r w:rsidR="00896406" w:rsidRPr="00163C1A">
        <w:rPr>
          <w:rFonts w:cs="Times New Roman"/>
        </w:rPr>
        <w:t xml:space="preserve">  </w:t>
      </w:r>
      <w:r w:rsidRPr="00163C1A">
        <w:rPr>
          <w:rFonts w:cs="Times New Roman"/>
        </w:rPr>
        <w:t xml:space="preserve">postępowanie </w:t>
      </w:r>
      <w:r w:rsidR="00ED4518" w:rsidRPr="00163C1A">
        <w:rPr>
          <w:rFonts w:cs="Times New Roman"/>
        </w:rPr>
        <w:t xml:space="preserve">    </w:t>
      </w:r>
      <w:r w:rsidRPr="00163C1A">
        <w:rPr>
          <w:rFonts w:cs="Times New Roman"/>
        </w:rPr>
        <w:t>powinno być wniesione, termin ten nie może być dłuższy niż dwa tygodnie,</w:t>
      </w:r>
    </w:p>
    <w:p w:rsidR="0049615E" w:rsidRPr="00163C1A" w:rsidRDefault="0049615E" w:rsidP="00ED4518">
      <w:pPr>
        <w:pStyle w:val="Akapitzlist"/>
        <w:widowControl/>
        <w:numPr>
          <w:ilvl w:val="0"/>
          <w:numId w:val="6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sąd wyznacza termin trzydziestodniowy, w którym pismo wszczynające postępowanie powinno być wniesione.</w:t>
      </w:r>
    </w:p>
    <w:p w:rsidR="00ED4518" w:rsidRPr="00163C1A" w:rsidRDefault="00ED4518" w:rsidP="003C1357">
      <w:pPr>
        <w:spacing w:line="360" w:lineRule="auto"/>
        <w:ind w:left="709" w:hanging="142"/>
        <w:jc w:val="both"/>
        <w:rPr>
          <w:rFonts w:cs="Times New Roman"/>
        </w:rPr>
      </w:pPr>
    </w:p>
    <w:p w:rsidR="00D9357C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</w:rPr>
      </w:pPr>
      <w:r w:rsidRPr="00163C1A">
        <w:rPr>
          <w:rFonts w:cs="Times New Roman"/>
          <w:b/>
        </w:rPr>
        <w:t>Wpisu do księgi wieczystej dokonuje się na podstawie dokumentów</w:t>
      </w:r>
      <w:r w:rsidRPr="00163C1A">
        <w:rPr>
          <w:rFonts w:cs="Times New Roman"/>
        </w:rPr>
        <w:t>:</w:t>
      </w:r>
    </w:p>
    <w:p w:rsidR="00D7701E" w:rsidRPr="00163C1A" w:rsidRDefault="00D7701E" w:rsidP="00D7701E">
      <w:pPr>
        <w:pStyle w:val="Akapitzlist"/>
        <w:spacing w:line="360" w:lineRule="auto"/>
        <w:ind w:left="502"/>
        <w:jc w:val="both"/>
        <w:rPr>
          <w:rFonts w:cs="Times New Roman"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3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sporządzonych wyłącznie w formie notarialnej;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 xml:space="preserve">sporządzonych z podpisem notarialnie poświadczonym, jeśli przepisy </w:t>
      </w:r>
      <w:r w:rsidR="00896406" w:rsidRPr="00163C1A">
        <w:rPr>
          <w:rFonts w:cs="Times New Roman"/>
        </w:rPr>
        <w:t xml:space="preserve">  </w:t>
      </w:r>
      <w:r w:rsidRPr="00163C1A">
        <w:rPr>
          <w:rFonts w:cs="Times New Roman"/>
        </w:rPr>
        <w:t>szczególne nie przewidują innej formy dokumentu;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</w:rPr>
      </w:pPr>
      <w:r w:rsidRPr="00163C1A">
        <w:rPr>
          <w:rFonts w:cs="Times New Roman"/>
        </w:rPr>
        <w:t>na podstawie dokumentów poświadczonych za zgodność z oryginałem przez adwokata lub radcę prawnego występującego w sprawie.</w:t>
      </w:r>
    </w:p>
    <w:p w:rsidR="004115B4" w:rsidRPr="00163C1A" w:rsidRDefault="004115B4" w:rsidP="003C1357">
      <w:pPr>
        <w:spacing w:line="360" w:lineRule="auto"/>
        <w:ind w:left="567" w:hanging="283"/>
        <w:jc w:val="both"/>
        <w:rPr>
          <w:rFonts w:cs="Times New Roman"/>
        </w:rPr>
      </w:pPr>
    </w:p>
    <w:p w:rsidR="00D9357C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</w:rPr>
        <w:t xml:space="preserve">Legitymację czynną w sprawie o uzgodnienie treści księgi </w:t>
      </w:r>
      <w:r w:rsidRPr="00163C1A">
        <w:rPr>
          <w:rFonts w:cs="Times New Roman"/>
          <w:b/>
          <w:bCs/>
        </w:rPr>
        <w:t>wieczystej z rzeczywistym stanem prawnym ma</w:t>
      </w:r>
      <w:r w:rsidRPr="00163C1A">
        <w:rPr>
          <w:rFonts w:cs="Times New Roman"/>
          <w:bCs/>
        </w:rPr>
        <w:t>:</w:t>
      </w:r>
    </w:p>
    <w:p w:rsidR="00D7701E" w:rsidRPr="00163C1A" w:rsidRDefault="00D7701E" w:rsidP="00D7701E">
      <w:pPr>
        <w:pStyle w:val="Akapitzlist"/>
        <w:spacing w:line="360" w:lineRule="auto"/>
        <w:ind w:left="502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widowControl/>
        <w:numPr>
          <w:ilvl w:val="0"/>
          <w:numId w:val="3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eastAsia="Times New Roman" w:cs="Times New Roman"/>
          <w:bCs/>
          <w:lang w:eastAsia="pl-PL"/>
        </w:rPr>
      </w:pPr>
      <w:r w:rsidRPr="00163C1A">
        <w:rPr>
          <w:rFonts w:cs="Times New Roman"/>
          <w:bCs/>
        </w:rPr>
        <w:t xml:space="preserve">osoba, </w:t>
      </w:r>
      <w:r w:rsidRPr="00163C1A">
        <w:rPr>
          <w:rFonts w:eastAsia="Times New Roman" w:cs="Times New Roman"/>
          <w:bCs/>
          <w:lang w:eastAsia="pl-PL"/>
        </w:rPr>
        <w:t>której prawo nie jest wpisane lub jest wpisane błędnie;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eastAsiaTheme="minorHAnsi" w:cs="Times New Roman"/>
          <w:bCs/>
          <w:lang w:eastAsia="en-US"/>
        </w:rPr>
      </w:pPr>
      <w:r w:rsidRPr="00163C1A">
        <w:rPr>
          <w:rFonts w:cs="Times New Roman"/>
          <w:bCs/>
        </w:rPr>
        <w:t xml:space="preserve">każda osoba, która dostrzeże niezgodność treści księgi wieczystej z </w:t>
      </w:r>
      <w:r w:rsidR="00896406" w:rsidRPr="00163C1A">
        <w:rPr>
          <w:rFonts w:cs="Times New Roman"/>
          <w:bCs/>
        </w:rPr>
        <w:t xml:space="preserve">  </w:t>
      </w:r>
      <w:r w:rsidRPr="00163C1A">
        <w:rPr>
          <w:rFonts w:cs="Times New Roman"/>
          <w:bCs/>
        </w:rPr>
        <w:t>rzeczywistym</w:t>
      </w:r>
      <w:r w:rsidR="00163C1A">
        <w:rPr>
          <w:rFonts w:cs="Times New Roman"/>
          <w:bCs/>
        </w:rPr>
        <w:t xml:space="preserve">   </w:t>
      </w:r>
      <w:r w:rsidRPr="00163C1A">
        <w:rPr>
          <w:rFonts w:cs="Times New Roman"/>
          <w:bCs/>
        </w:rPr>
        <w:t xml:space="preserve"> stanem prawnym;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każda osoba, która dostrzeże niezgodność treści księgi wieczystej z </w:t>
      </w:r>
      <w:r w:rsidR="00896406" w:rsidRPr="00163C1A">
        <w:rPr>
          <w:rFonts w:cs="Times New Roman"/>
          <w:bCs/>
        </w:rPr>
        <w:t xml:space="preserve">  </w:t>
      </w:r>
      <w:r w:rsidRPr="00163C1A">
        <w:rPr>
          <w:rFonts w:cs="Times New Roman"/>
          <w:bCs/>
        </w:rPr>
        <w:t xml:space="preserve">rzeczywistym </w:t>
      </w:r>
      <w:r w:rsidR="00163C1A">
        <w:rPr>
          <w:rFonts w:cs="Times New Roman"/>
          <w:bCs/>
        </w:rPr>
        <w:t xml:space="preserve">   </w:t>
      </w:r>
      <w:r w:rsidRPr="00163C1A">
        <w:rPr>
          <w:rFonts w:cs="Times New Roman"/>
          <w:bCs/>
        </w:rPr>
        <w:t>stanem prawnym, jeśli posiada interes prawny w wytoczeniu takiego powództwa.</w:t>
      </w:r>
    </w:p>
    <w:p w:rsidR="00D9357C" w:rsidRDefault="00D9357C" w:rsidP="003C1357">
      <w:pPr>
        <w:spacing w:line="360" w:lineRule="auto"/>
        <w:ind w:left="709" w:hanging="283"/>
        <w:jc w:val="both"/>
        <w:rPr>
          <w:rFonts w:eastAsia="Times New Roman" w:cs="Times New Roman"/>
          <w:lang w:eastAsia="pl-PL"/>
        </w:rPr>
      </w:pPr>
    </w:p>
    <w:p w:rsidR="00D7701E" w:rsidRDefault="00D7701E" w:rsidP="003C1357">
      <w:pPr>
        <w:spacing w:line="360" w:lineRule="auto"/>
        <w:ind w:left="709" w:hanging="283"/>
        <w:jc w:val="both"/>
        <w:rPr>
          <w:rFonts w:eastAsia="Times New Roman" w:cs="Times New Roman"/>
          <w:lang w:eastAsia="pl-PL"/>
        </w:rPr>
      </w:pPr>
    </w:p>
    <w:p w:rsidR="00D7701E" w:rsidRDefault="00D7701E" w:rsidP="003C1357">
      <w:pPr>
        <w:spacing w:line="360" w:lineRule="auto"/>
        <w:ind w:left="709" w:hanging="283"/>
        <w:jc w:val="both"/>
        <w:rPr>
          <w:rFonts w:eastAsia="Times New Roman" w:cs="Times New Roman"/>
          <w:lang w:eastAsia="pl-PL"/>
        </w:rPr>
      </w:pPr>
    </w:p>
    <w:p w:rsidR="00D7701E" w:rsidRPr="00163C1A" w:rsidRDefault="00D7701E" w:rsidP="003C1357">
      <w:pPr>
        <w:spacing w:line="360" w:lineRule="auto"/>
        <w:ind w:left="709" w:hanging="283"/>
        <w:jc w:val="both"/>
        <w:rPr>
          <w:rFonts w:eastAsia="Times New Roman" w:cs="Times New Roman"/>
          <w:lang w:eastAsia="pl-PL"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eastAsiaTheme="minorHAnsi" w:cs="Times New Roman"/>
          <w:bCs/>
          <w:lang w:eastAsia="en-US"/>
        </w:rPr>
      </w:pPr>
      <w:r w:rsidRPr="00163C1A">
        <w:rPr>
          <w:rFonts w:cs="Times New Roman"/>
          <w:b/>
          <w:bCs/>
        </w:rPr>
        <w:t>Czy dopuszczalne jest zastrzeżenie, przez które właściciel nieruchomości zobowiązuje się względem wierzyciela hipotecznego, że nie dokona obciążenia nieruchomości przed wygaśnięciem hipotek</w:t>
      </w:r>
      <w:r w:rsidRPr="00163C1A">
        <w:rPr>
          <w:rFonts w:cs="Times New Roman"/>
          <w:bCs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tak;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3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nie;</w:t>
      </w:r>
    </w:p>
    <w:p w:rsidR="00D9357C" w:rsidRDefault="00D9357C" w:rsidP="003C1357">
      <w:pPr>
        <w:pStyle w:val="Akapitzlist"/>
        <w:widowControl/>
        <w:numPr>
          <w:ilvl w:val="0"/>
          <w:numId w:val="3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tak jeśli taki warunek strony zawarły w umowie o ustanowienie hipoteki sporządzonej w formie aktu notarialnego.</w:t>
      </w:r>
    </w:p>
    <w:p w:rsidR="00D7701E" w:rsidRPr="00163C1A" w:rsidRDefault="00D7701E" w:rsidP="00D7701E">
      <w:pPr>
        <w:pStyle w:val="Akapitzlist"/>
        <w:widowControl/>
        <w:suppressAutoHyphens w:val="0"/>
        <w:autoSpaceDN/>
        <w:spacing w:line="360" w:lineRule="auto"/>
        <w:ind w:left="1004"/>
        <w:contextualSpacing/>
        <w:jc w:val="both"/>
        <w:textAlignment w:val="auto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W przypadku wykreślenia hipoteki z księgi wieczystej bez ważnej podstawy prawnej hipoteka wygasa po upływie</w:t>
      </w:r>
      <w:r w:rsidRPr="00163C1A">
        <w:rPr>
          <w:rFonts w:cs="Times New Roman"/>
          <w:bCs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trzydziestu lat;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dziesięciu lat;</w:t>
      </w:r>
    </w:p>
    <w:p w:rsidR="00D9357C" w:rsidRDefault="00D9357C" w:rsidP="003C1357">
      <w:pPr>
        <w:pStyle w:val="Akapitzlist"/>
        <w:widowControl/>
        <w:numPr>
          <w:ilvl w:val="0"/>
          <w:numId w:val="4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dwudziestu lat.</w:t>
      </w:r>
    </w:p>
    <w:p w:rsidR="00D7701E" w:rsidRPr="00163C1A" w:rsidRDefault="00D7701E" w:rsidP="00D7701E">
      <w:pPr>
        <w:pStyle w:val="Akapitzlist"/>
        <w:widowControl/>
        <w:suppressAutoHyphens w:val="0"/>
        <w:autoSpaceDN/>
        <w:spacing w:line="360" w:lineRule="auto"/>
        <w:ind w:left="862"/>
        <w:contextualSpacing/>
        <w:jc w:val="both"/>
        <w:textAlignment w:val="auto"/>
        <w:rPr>
          <w:rFonts w:cs="Times New Roman"/>
          <w:bCs/>
        </w:rPr>
      </w:pPr>
    </w:p>
    <w:p w:rsidR="00D9357C" w:rsidRPr="00163C1A" w:rsidRDefault="00D7701E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/>
          <w:bCs/>
        </w:rPr>
        <w:t xml:space="preserve"> </w:t>
      </w:r>
      <w:r w:rsidR="00D9357C" w:rsidRPr="00163C1A">
        <w:rPr>
          <w:rFonts w:cs="Times New Roman"/>
          <w:b/>
          <w:bCs/>
        </w:rPr>
        <w:t>W</w:t>
      </w:r>
      <w:r>
        <w:rPr>
          <w:rFonts w:cs="Times New Roman"/>
          <w:b/>
          <w:bCs/>
        </w:rPr>
        <w:t xml:space="preserve"> </w:t>
      </w:r>
      <w:r w:rsidR="00D9357C" w:rsidRPr="00163C1A">
        <w:rPr>
          <w:rFonts w:cs="Times New Roman"/>
          <w:b/>
          <w:bCs/>
        </w:rPr>
        <w:t xml:space="preserve">przypadku niezgodności danych katastru nieruchomości </w:t>
      </w:r>
      <w:r w:rsidR="00D9357C" w:rsidRPr="00163C1A">
        <w:rPr>
          <w:rFonts w:cs="Times New Roman"/>
          <w:b/>
          <w:bCs/>
        </w:rPr>
        <w:br/>
        <w:t>z oznaczeniem nieruchomości w księdze  wieczystej sprostowanie danych w księdze wieczystej jest możliwe</w:t>
      </w:r>
      <w:r w:rsidR="00D9357C" w:rsidRPr="00163C1A">
        <w:rPr>
          <w:rFonts w:cs="Times New Roman"/>
          <w:bCs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wyłącznie na wniosek właściciela nieruchomości lub wieczystego </w:t>
      </w:r>
      <w:r w:rsidR="00896406" w:rsidRPr="00163C1A">
        <w:rPr>
          <w:rFonts w:cs="Times New Roman"/>
          <w:bCs/>
        </w:rPr>
        <w:t xml:space="preserve">      </w:t>
      </w:r>
      <w:r w:rsidRPr="00163C1A">
        <w:rPr>
          <w:rFonts w:cs="Times New Roman"/>
          <w:bCs/>
        </w:rPr>
        <w:t>użytkownika;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wyłącznie z urzędu;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 urzędu lub na wniosek właściciela nieruchomości lub wieczystego </w:t>
      </w:r>
      <w:r w:rsidR="00896406" w:rsidRPr="00163C1A">
        <w:rPr>
          <w:rFonts w:cs="Times New Roman"/>
          <w:bCs/>
        </w:rPr>
        <w:t xml:space="preserve">  </w:t>
      </w:r>
      <w:r w:rsidRPr="00163C1A">
        <w:rPr>
          <w:rFonts w:cs="Times New Roman"/>
          <w:bCs/>
        </w:rPr>
        <w:t>użytkownika.</w:t>
      </w:r>
    </w:p>
    <w:p w:rsidR="00C408BD" w:rsidRPr="00163C1A" w:rsidRDefault="00C408BD" w:rsidP="003C1357">
      <w:pPr>
        <w:pStyle w:val="Akapitzlist"/>
        <w:spacing w:line="360" w:lineRule="auto"/>
        <w:ind w:left="1004"/>
        <w:jc w:val="both"/>
        <w:rPr>
          <w:rFonts w:cs="Times New Roman"/>
          <w:bCs/>
        </w:rPr>
      </w:pPr>
    </w:p>
    <w:p w:rsidR="00AD59D2" w:rsidRPr="00163C1A" w:rsidRDefault="00D7701E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AD59D2" w:rsidRPr="00163C1A">
        <w:rPr>
          <w:rFonts w:cs="Times New Roman"/>
          <w:b/>
          <w:bCs/>
        </w:rPr>
        <w:t>Spółka z ograniczoną odpowiedzialnością  nabywa osobowość prawną z chwila:</w:t>
      </w:r>
    </w:p>
    <w:p w:rsidR="00AD59D2" w:rsidRPr="00163C1A" w:rsidRDefault="004A1CFD" w:rsidP="003C1357">
      <w:pPr>
        <w:pStyle w:val="Akapitzlist"/>
        <w:spacing w:line="360" w:lineRule="auto"/>
        <w:ind w:left="502"/>
        <w:jc w:val="both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a. </w:t>
      </w:r>
      <w:r w:rsidR="00AD59D2" w:rsidRPr="00163C1A">
        <w:rPr>
          <w:rFonts w:cs="Times New Roman"/>
          <w:bCs/>
        </w:rPr>
        <w:t>podpisania umowy spółki,</w:t>
      </w:r>
    </w:p>
    <w:p w:rsidR="00AD59D2" w:rsidRPr="00163C1A" w:rsidRDefault="00AD59D2" w:rsidP="003C1357">
      <w:pPr>
        <w:pStyle w:val="Akapitzlist"/>
        <w:spacing w:line="360" w:lineRule="auto"/>
        <w:ind w:left="502"/>
        <w:jc w:val="both"/>
        <w:rPr>
          <w:rFonts w:cs="Times New Roman"/>
          <w:bCs/>
        </w:rPr>
      </w:pPr>
      <w:r w:rsidRPr="00163C1A">
        <w:rPr>
          <w:rFonts w:cs="Times New Roman"/>
          <w:bCs/>
        </w:rPr>
        <w:t>b. złożenia w sądzie rejestrowym umowy spółki,</w:t>
      </w:r>
    </w:p>
    <w:p w:rsidR="00AD59D2" w:rsidRPr="00163C1A" w:rsidRDefault="00AD59D2" w:rsidP="003C1357">
      <w:pPr>
        <w:pStyle w:val="Akapitzlist"/>
        <w:spacing w:line="360" w:lineRule="auto"/>
        <w:ind w:left="502"/>
        <w:jc w:val="both"/>
        <w:rPr>
          <w:rFonts w:cs="Times New Roman"/>
          <w:bCs/>
        </w:rPr>
      </w:pPr>
      <w:r w:rsidRPr="00163C1A">
        <w:rPr>
          <w:rFonts w:cs="Times New Roman"/>
          <w:bCs/>
        </w:rPr>
        <w:t>c. wpisu do właściwego rejestru.</w:t>
      </w:r>
    </w:p>
    <w:p w:rsidR="00163C1A" w:rsidRPr="00163C1A" w:rsidRDefault="00163C1A" w:rsidP="003C1357">
      <w:pPr>
        <w:pStyle w:val="Akapitzlist"/>
        <w:spacing w:line="360" w:lineRule="auto"/>
        <w:ind w:left="502"/>
        <w:jc w:val="both"/>
        <w:rPr>
          <w:rFonts w:cs="Times New Roman"/>
          <w:bCs/>
        </w:rPr>
      </w:pPr>
    </w:p>
    <w:p w:rsidR="00D9357C" w:rsidRPr="00163C1A" w:rsidRDefault="00D7701E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/>
          <w:bCs/>
        </w:rPr>
        <w:t xml:space="preserve"> </w:t>
      </w:r>
      <w:r w:rsidR="00D9357C" w:rsidRPr="00163C1A">
        <w:rPr>
          <w:rFonts w:cs="Times New Roman"/>
          <w:b/>
          <w:bCs/>
        </w:rPr>
        <w:t>Hipotekę przymusową na nieruchomości w księdze wieczystej można wpisać również na podstawie</w:t>
      </w:r>
      <w:r w:rsidR="00D9357C" w:rsidRPr="00163C1A">
        <w:rPr>
          <w:rFonts w:cs="Times New Roman"/>
          <w:bCs/>
        </w:rPr>
        <w:t>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decyzji administracyjnej, o ile przepisy szczególne tak stanowią, o ile jest ona ostateczna,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decyzji administracyjnej, o ile przepisy szczególne tak stanowią, </w:t>
      </w:r>
      <w:r w:rsidR="00896406" w:rsidRPr="00163C1A">
        <w:rPr>
          <w:rFonts w:cs="Times New Roman"/>
          <w:bCs/>
        </w:rPr>
        <w:t xml:space="preserve">        </w:t>
      </w:r>
      <w:r w:rsidRPr="00163C1A">
        <w:rPr>
          <w:rFonts w:cs="Times New Roman"/>
          <w:bCs/>
        </w:rPr>
        <w:t>chociażby decyzja nie była ostateczna,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decyzji administracyjnej, o ile przepisy szczególne tak stanowią, o ile jest ona </w:t>
      </w:r>
      <w:r w:rsidR="00163C1A">
        <w:rPr>
          <w:rFonts w:cs="Times New Roman"/>
          <w:bCs/>
        </w:rPr>
        <w:t xml:space="preserve">            </w:t>
      </w:r>
      <w:r w:rsidRPr="00163C1A">
        <w:rPr>
          <w:rFonts w:cs="Times New Roman"/>
          <w:bCs/>
        </w:rPr>
        <w:t xml:space="preserve">prawomocna. </w:t>
      </w:r>
    </w:p>
    <w:p w:rsidR="00D9357C" w:rsidRPr="00163C1A" w:rsidRDefault="00D9357C" w:rsidP="003C1357">
      <w:pPr>
        <w:pStyle w:val="Akapitzlist"/>
        <w:spacing w:line="360" w:lineRule="auto"/>
        <w:ind w:left="1004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lastRenderedPageBreak/>
        <w:t>Cofnięcie wniosku o wpis w księdze wieczystej jest dopuszczalny w przypadku, gdy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 treści wniosku i dołączonych do wniosku dokumentów wynika, że wpis dotyczy </w:t>
      </w:r>
      <w:r w:rsidR="00163C1A">
        <w:rPr>
          <w:rFonts w:cs="Times New Roman"/>
          <w:bCs/>
        </w:rPr>
        <w:t xml:space="preserve">       </w:t>
      </w:r>
      <w:r w:rsidRPr="00163C1A">
        <w:rPr>
          <w:rFonts w:cs="Times New Roman"/>
          <w:bCs/>
        </w:rPr>
        <w:t>hipoteki umownej w dziale IV księgi wieczystej,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 treści wniosku wynika, że wpis dotyczy zmiany prawa własności w </w:t>
      </w:r>
      <w:r w:rsidR="00896406" w:rsidRPr="00163C1A">
        <w:rPr>
          <w:rFonts w:cs="Times New Roman"/>
          <w:bCs/>
        </w:rPr>
        <w:t xml:space="preserve">  </w:t>
      </w:r>
      <w:r w:rsidRPr="00163C1A">
        <w:rPr>
          <w:rFonts w:cs="Times New Roman"/>
          <w:bCs/>
        </w:rPr>
        <w:t xml:space="preserve">dziale II księgi wieczystej oraz wpisania prawa dożywocia w dziale III księgi wieczystej wykonywanego przez nowego właściciela nieruchomości, </w:t>
      </w:r>
    </w:p>
    <w:p w:rsidR="00D9357C" w:rsidRDefault="00D9357C" w:rsidP="003C1357">
      <w:pPr>
        <w:pStyle w:val="Akapitzlist"/>
        <w:widowControl/>
        <w:numPr>
          <w:ilvl w:val="0"/>
          <w:numId w:val="4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 treści wniosku i dołączonych do wniosku dokumentów wynika, że </w:t>
      </w:r>
      <w:r w:rsidR="00896406" w:rsidRPr="00163C1A">
        <w:rPr>
          <w:rFonts w:cs="Times New Roman"/>
          <w:bCs/>
        </w:rPr>
        <w:t xml:space="preserve">    </w:t>
      </w:r>
      <w:r w:rsidRPr="00163C1A">
        <w:rPr>
          <w:rFonts w:cs="Times New Roman"/>
          <w:bCs/>
        </w:rPr>
        <w:t>nastąpiła zmiana prawa własności.</w:t>
      </w: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ustawą o księgach wieczystych i hipotece, w razie wykreślenia hipoteki z księgi wieczystej bez ważnej podstawy prawnej, hipoteka</w:t>
      </w:r>
      <w:r w:rsidRPr="00163C1A">
        <w:rPr>
          <w:rFonts w:cs="Times New Roman"/>
          <w:bCs/>
        </w:rPr>
        <w:t xml:space="preserve"> 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nie wygasa,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wygasa po upływie pięciu lat,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wygasa po upływie dziesięciu lat,</w:t>
      </w:r>
    </w:p>
    <w:p w:rsidR="00D9357C" w:rsidRPr="00163C1A" w:rsidRDefault="00D9357C" w:rsidP="003C1357">
      <w:pPr>
        <w:pStyle w:val="Akapitzlist"/>
        <w:spacing w:line="360" w:lineRule="auto"/>
        <w:ind w:left="943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ustawą o księgach wieczystych i hipotece księgi wieczyste są zakładane i prowadzone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w systemie informatycznym i papierowym,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 systemie informatycznym,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w systemie papierowym.</w:t>
      </w:r>
    </w:p>
    <w:p w:rsidR="00C408BD" w:rsidRPr="00163C1A" w:rsidRDefault="00C408BD" w:rsidP="003C1357">
      <w:pPr>
        <w:pStyle w:val="Akapitzlist"/>
        <w:spacing w:line="360" w:lineRule="auto"/>
        <w:ind w:left="1004"/>
        <w:jc w:val="both"/>
        <w:rPr>
          <w:rFonts w:cs="Times New Roman"/>
          <w:bCs/>
          <w:i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Regułą jest, że po ogłoszeniu upadłości sąd upadłościowy orzeka w składzie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trzech sędziów zawodowych,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jednego sędziego,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6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jednego sędziego, o ile prezes sądu tak postanowi. </w:t>
      </w:r>
    </w:p>
    <w:p w:rsidR="00D9357C" w:rsidRPr="00163C1A" w:rsidRDefault="00D9357C" w:rsidP="003C1357">
      <w:pPr>
        <w:pStyle w:val="Akapitzlist"/>
        <w:spacing w:line="360" w:lineRule="auto"/>
        <w:ind w:left="1004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Kodeksem cywilnym, zobowiązanie jest solidarne, jeżeli wynika to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wyłącznie z ustawy,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wyłącznie z czynności prawnej,</w:t>
      </w:r>
    </w:p>
    <w:p w:rsidR="00D9357C" w:rsidRDefault="00D9357C" w:rsidP="003C1357">
      <w:pPr>
        <w:pStyle w:val="Akapitzlist"/>
        <w:widowControl/>
        <w:numPr>
          <w:ilvl w:val="0"/>
          <w:numId w:val="47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 ustawy lub z czynności prawnej. </w:t>
      </w:r>
    </w:p>
    <w:p w:rsidR="00D7701E" w:rsidRPr="00163C1A" w:rsidRDefault="00D7701E" w:rsidP="00D7701E">
      <w:pPr>
        <w:pStyle w:val="Akapitzlist"/>
        <w:widowControl/>
        <w:suppressAutoHyphens w:val="0"/>
        <w:autoSpaceDN/>
        <w:spacing w:line="360" w:lineRule="auto"/>
        <w:ind w:left="1004"/>
        <w:contextualSpacing/>
        <w:jc w:val="both"/>
        <w:textAlignment w:val="auto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Kodeksem cywilnym, uprawnienie współwłaścicieli do żądania zniesienia współwłasności:</w:t>
      </w:r>
      <w:r w:rsidRPr="00163C1A">
        <w:rPr>
          <w:rFonts w:cs="Times New Roman"/>
          <w:bCs/>
        </w:rPr>
        <w:t xml:space="preserve">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może być wyłączone przez czynność prawną na czas nieograniczony,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nie może być wyłączone przez czynność prawną, </w:t>
      </w:r>
    </w:p>
    <w:p w:rsidR="00D9357C" w:rsidRDefault="00D9357C" w:rsidP="003C1357">
      <w:pPr>
        <w:pStyle w:val="Akapitzlist"/>
        <w:widowControl/>
        <w:numPr>
          <w:ilvl w:val="0"/>
          <w:numId w:val="48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może być wyłączone przez czynność prawną na czas nie dłuższy niż lat pięć.</w:t>
      </w:r>
    </w:p>
    <w:p w:rsidR="00D7701E" w:rsidRDefault="00D7701E" w:rsidP="00D7701E">
      <w:pPr>
        <w:pStyle w:val="Akapitzlist"/>
        <w:widowControl/>
        <w:suppressAutoHyphens w:val="0"/>
        <w:autoSpaceDN/>
        <w:spacing w:line="360" w:lineRule="auto"/>
        <w:ind w:left="1004"/>
        <w:contextualSpacing/>
        <w:jc w:val="both"/>
        <w:textAlignment w:val="auto"/>
        <w:rPr>
          <w:rFonts w:cs="Times New Roman"/>
          <w:bCs/>
        </w:rPr>
      </w:pPr>
    </w:p>
    <w:p w:rsidR="00D7701E" w:rsidRPr="00163C1A" w:rsidRDefault="00D7701E" w:rsidP="00D7701E">
      <w:pPr>
        <w:pStyle w:val="Akapitzlist"/>
        <w:widowControl/>
        <w:suppressAutoHyphens w:val="0"/>
        <w:autoSpaceDN/>
        <w:spacing w:line="360" w:lineRule="auto"/>
        <w:ind w:left="1004"/>
        <w:contextualSpacing/>
        <w:jc w:val="both"/>
        <w:textAlignment w:val="auto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 xml:space="preserve">Zgodnie z Kodeksem cywilnym, odpowiedzialność in </w:t>
      </w:r>
      <w:proofErr w:type="spellStart"/>
      <w:r w:rsidRPr="00163C1A">
        <w:rPr>
          <w:rFonts w:cs="Times New Roman"/>
          <w:b/>
          <w:bCs/>
        </w:rPr>
        <w:t>solidum</w:t>
      </w:r>
      <w:proofErr w:type="spellEnd"/>
      <w:r w:rsidRPr="00163C1A">
        <w:rPr>
          <w:rFonts w:cs="Times New Roman"/>
          <w:b/>
          <w:bCs/>
        </w:rPr>
        <w:t xml:space="preserve"> dłużników polega na tym że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każdy z dłużników płaci część długu,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każdy dłużnik płaci cały dług,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4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spełnienie długu przez jednego dłużnika zwalnia pozostałych. </w:t>
      </w:r>
    </w:p>
    <w:p w:rsidR="00D9357C" w:rsidRPr="00163C1A" w:rsidRDefault="00D9357C" w:rsidP="003C1357">
      <w:pPr>
        <w:spacing w:line="360" w:lineRule="auto"/>
        <w:ind w:left="284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Kodeksem postępowania cywilnego, w razie śmierci strony pełnomocnictwo procesowe:</w:t>
      </w:r>
      <w:r w:rsidRPr="00163C1A">
        <w:rPr>
          <w:rFonts w:cs="Times New Roman"/>
          <w:bCs/>
        </w:rPr>
        <w:t xml:space="preserve">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wygasa,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wygasa, jednakże pełnomocnik procesowy działa aż do czasu zawieszenia postępowania,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wygasa z dniem uprawomocnienia się postanowienia </w:t>
      </w:r>
      <w:r w:rsidR="00163C1A">
        <w:rPr>
          <w:rFonts w:cs="Times New Roman"/>
          <w:bCs/>
        </w:rPr>
        <w:t xml:space="preserve"> </w:t>
      </w:r>
      <w:r w:rsidRPr="00163C1A">
        <w:rPr>
          <w:rFonts w:cs="Times New Roman"/>
          <w:bCs/>
        </w:rPr>
        <w:t xml:space="preserve">o stwierdzeniu nabycia spadku po zmarłej stronie. </w:t>
      </w:r>
    </w:p>
    <w:p w:rsidR="00D9357C" w:rsidRPr="00163C1A" w:rsidRDefault="00D9357C" w:rsidP="003C1357">
      <w:pPr>
        <w:pStyle w:val="Akapitzlist"/>
        <w:spacing w:line="360" w:lineRule="auto"/>
        <w:ind w:left="1004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/>
          <w:bCs/>
        </w:rPr>
      </w:pPr>
      <w:r w:rsidRPr="00163C1A">
        <w:rPr>
          <w:rFonts w:cs="Times New Roman"/>
          <w:b/>
          <w:bCs/>
        </w:rPr>
        <w:t xml:space="preserve">Zgodnie z Kodeksem postępowania cywilnego, jeżeli o to samo roszczenie pomiędzy tymi samymi stronami sprawa została już prawomocnie osądzona, sąd: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zwróci pozew,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odrzuci pozew,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1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oddali powództwo. </w:t>
      </w:r>
    </w:p>
    <w:p w:rsidR="00D9357C" w:rsidRPr="00163C1A" w:rsidRDefault="00D9357C" w:rsidP="003C1357">
      <w:pPr>
        <w:spacing w:line="360" w:lineRule="auto"/>
        <w:ind w:left="284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t>Zgodnie z Kodeksem postępowania cywilnego, strona której wniosek o ustanowienie adwokata z urzędu oparty na tych samych podstawach zostanie odrzucony, może złożyć</w:t>
      </w:r>
      <w:r w:rsidRPr="00163C1A">
        <w:rPr>
          <w:rFonts w:cs="Times New Roman"/>
          <w:bCs/>
        </w:rPr>
        <w:t xml:space="preserve">: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zażalenie,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skargę na orzeczenie referendarza,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2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zażalenie nie przysługuje. </w:t>
      </w:r>
    </w:p>
    <w:p w:rsidR="00D9357C" w:rsidRPr="00163C1A" w:rsidRDefault="00D9357C" w:rsidP="003C1357">
      <w:pPr>
        <w:spacing w:line="360" w:lineRule="auto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 </w:t>
      </w:r>
      <w:r w:rsidRPr="00163C1A">
        <w:rPr>
          <w:rFonts w:cs="Times New Roman"/>
          <w:b/>
          <w:bCs/>
        </w:rPr>
        <w:t>Zgodnie z Kodeksem postępowania cywilnego, nie przysługuje skarga na postanowienie referendarza, w którym:</w:t>
      </w:r>
      <w:r w:rsidRPr="00163C1A">
        <w:rPr>
          <w:rFonts w:cs="Times New Roman"/>
          <w:bCs/>
        </w:rPr>
        <w:t xml:space="preserve">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uwzględnił w całości wniosek o zwolnienie od kosztów sądowych,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oddalił wniosek,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cofnął zwolnienie. </w:t>
      </w:r>
    </w:p>
    <w:p w:rsidR="00D9357C" w:rsidRDefault="00D9357C" w:rsidP="003C1357">
      <w:pPr>
        <w:spacing w:line="360" w:lineRule="auto"/>
        <w:jc w:val="both"/>
        <w:rPr>
          <w:rFonts w:cs="Times New Roman"/>
          <w:bCs/>
        </w:rPr>
      </w:pPr>
    </w:p>
    <w:p w:rsidR="00D7701E" w:rsidRDefault="00D7701E" w:rsidP="003C1357">
      <w:pPr>
        <w:spacing w:line="360" w:lineRule="auto"/>
        <w:jc w:val="both"/>
        <w:rPr>
          <w:rFonts w:cs="Times New Roman"/>
          <w:bCs/>
        </w:rPr>
      </w:pPr>
    </w:p>
    <w:p w:rsidR="00D7701E" w:rsidRDefault="00D7701E" w:rsidP="003C1357">
      <w:pPr>
        <w:spacing w:line="360" w:lineRule="auto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Cs/>
        </w:rPr>
      </w:pPr>
      <w:r w:rsidRPr="00163C1A">
        <w:rPr>
          <w:rFonts w:cs="Times New Roman"/>
          <w:b/>
          <w:bCs/>
        </w:rPr>
        <w:lastRenderedPageBreak/>
        <w:t>Wniosek o wpis do Krajowego rejestru sądowego podlega rozpoznaniu w terminie</w:t>
      </w:r>
      <w:r w:rsidRPr="00163C1A">
        <w:rPr>
          <w:rFonts w:cs="Times New Roman"/>
          <w:bCs/>
        </w:rPr>
        <w:t xml:space="preserve">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7 dni od daty jego wpływu do sądu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1 dnia od daty jego wpływu do sądu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4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1 dnia od jego wpływu do sądu w przypadku żądania wpisu spółki której umowa została zawarta przy wykorzystaniu wzorca umowy udostępnionego w systemie informatycznym.</w:t>
      </w:r>
    </w:p>
    <w:p w:rsidR="00163C1A" w:rsidRPr="00163C1A" w:rsidRDefault="00163C1A" w:rsidP="003C1357">
      <w:pPr>
        <w:pStyle w:val="Akapitzlist"/>
        <w:spacing w:line="360" w:lineRule="auto"/>
        <w:jc w:val="both"/>
        <w:rPr>
          <w:rFonts w:cs="Times New Roman"/>
          <w:bCs/>
        </w:rPr>
      </w:pPr>
    </w:p>
    <w:p w:rsidR="00D9357C" w:rsidRPr="00163C1A" w:rsidRDefault="00D9357C" w:rsidP="003C1357">
      <w:pPr>
        <w:pStyle w:val="Akapitzlist"/>
        <w:numPr>
          <w:ilvl w:val="0"/>
          <w:numId w:val="22"/>
        </w:numPr>
        <w:spacing w:line="360" w:lineRule="auto"/>
        <w:jc w:val="both"/>
        <w:rPr>
          <w:rFonts w:cs="Times New Roman"/>
          <w:b/>
          <w:bCs/>
        </w:rPr>
      </w:pPr>
      <w:r w:rsidRPr="00163C1A">
        <w:rPr>
          <w:rFonts w:cs="Times New Roman"/>
          <w:bCs/>
        </w:rPr>
        <w:t xml:space="preserve"> </w:t>
      </w:r>
      <w:r w:rsidRPr="00163C1A">
        <w:rPr>
          <w:rFonts w:cs="Times New Roman"/>
          <w:b/>
          <w:bCs/>
        </w:rPr>
        <w:t>Według kodeksu postępowania cywilnego referendarz sądowy powinien wydać (terminy instrukcyjne):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postanowienie w przedmiocie klauzuli wykonalności w terminie 3 dni,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nakaz zapłaty w postępowaniu upominawczym w terminie 7 dni,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>postanowienie w przedmiocie rozstrzygnięcia zbiegu egzekucji sądowej i</w:t>
      </w:r>
      <w:r w:rsidR="00211EC6">
        <w:rPr>
          <w:rFonts w:cs="Times New Roman"/>
          <w:bCs/>
        </w:rPr>
        <w:t xml:space="preserve">                     </w:t>
      </w:r>
      <w:r w:rsidRPr="00163C1A">
        <w:rPr>
          <w:rFonts w:cs="Times New Roman"/>
          <w:bCs/>
        </w:rPr>
        <w:t xml:space="preserve"> administracyjnej w terminie 14 dni, </w:t>
      </w:r>
    </w:p>
    <w:p w:rsidR="00D9357C" w:rsidRPr="00163C1A" w:rsidRDefault="00D9357C" w:rsidP="003C1357">
      <w:pPr>
        <w:pStyle w:val="Akapitzlist"/>
        <w:widowControl/>
        <w:numPr>
          <w:ilvl w:val="0"/>
          <w:numId w:val="55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cs="Times New Roman"/>
          <w:bCs/>
        </w:rPr>
      </w:pPr>
      <w:r w:rsidRPr="00163C1A">
        <w:rPr>
          <w:rFonts w:cs="Times New Roman"/>
          <w:bCs/>
        </w:rPr>
        <w:t xml:space="preserve">postanowienie w przedmiocie zobowiązania dłużnika do wyjawienia </w:t>
      </w:r>
      <w:r w:rsidR="00896406" w:rsidRPr="00163C1A">
        <w:rPr>
          <w:rFonts w:cs="Times New Roman"/>
          <w:bCs/>
        </w:rPr>
        <w:t xml:space="preserve">   </w:t>
      </w:r>
      <w:r w:rsidRPr="00163C1A">
        <w:rPr>
          <w:rFonts w:cs="Times New Roman"/>
          <w:bCs/>
        </w:rPr>
        <w:t>majątku w terminie 30 dni.</w:t>
      </w:r>
      <w:r w:rsidRPr="00163C1A">
        <w:rPr>
          <w:rFonts w:cs="Times New Roman"/>
        </w:rPr>
        <w:t xml:space="preserve"> </w:t>
      </w:r>
    </w:p>
    <w:p w:rsidR="00EA33B7" w:rsidRPr="00163C1A" w:rsidRDefault="00EA33B7" w:rsidP="003C1357">
      <w:pPr>
        <w:autoSpaceDE w:val="0"/>
        <w:adjustRightInd w:val="0"/>
        <w:spacing w:line="360" w:lineRule="auto"/>
        <w:jc w:val="center"/>
        <w:rPr>
          <w:rFonts w:cs="Times New Roman"/>
        </w:rPr>
      </w:pPr>
      <w:r w:rsidRPr="00163C1A">
        <w:rPr>
          <w:rFonts w:cs="Times New Roman"/>
        </w:rPr>
        <w:t xml:space="preserve">                                                                                </w:t>
      </w:r>
    </w:p>
    <w:p w:rsidR="00B618E4" w:rsidRPr="00163C1A" w:rsidRDefault="007E4468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  <w:b/>
        </w:rPr>
        <w:t>W postępowaniu karnym referendarz sądowy nie może wydać</w:t>
      </w:r>
      <w:r w:rsidRPr="00163C1A">
        <w:rPr>
          <w:rFonts w:cs="Times New Roman"/>
        </w:rPr>
        <w:t>:</w:t>
      </w:r>
    </w:p>
    <w:p w:rsidR="007E4468" w:rsidRPr="00163C1A" w:rsidRDefault="007E4468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</w:rPr>
      </w:pPr>
      <w:r w:rsidRPr="00163C1A">
        <w:rPr>
          <w:rFonts w:cs="Times New Roman"/>
        </w:rPr>
        <w:t>a</w:t>
      </w:r>
      <w:r w:rsidR="004A1CFD" w:rsidRPr="00163C1A">
        <w:rPr>
          <w:rFonts w:cs="Times New Roman"/>
        </w:rPr>
        <w:t xml:space="preserve">. </w:t>
      </w:r>
      <w:r w:rsidRPr="00163C1A">
        <w:rPr>
          <w:rFonts w:cs="Times New Roman"/>
        </w:rPr>
        <w:t>zarządzenia;</w:t>
      </w:r>
    </w:p>
    <w:p w:rsidR="007E4468" w:rsidRPr="00163C1A" w:rsidRDefault="00C408BD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  <w:b/>
        </w:rPr>
      </w:pPr>
      <w:r w:rsidRPr="00163C1A">
        <w:rPr>
          <w:rFonts w:cs="Times New Roman"/>
        </w:rPr>
        <w:t>b</w:t>
      </w:r>
      <w:r w:rsidR="004A1CFD" w:rsidRPr="00163C1A">
        <w:rPr>
          <w:rFonts w:cs="Times New Roman"/>
        </w:rPr>
        <w:t xml:space="preserve">. </w:t>
      </w:r>
      <w:r w:rsidR="007E4468" w:rsidRPr="00163C1A">
        <w:rPr>
          <w:rFonts w:cs="Times New Roman"/>
        </w:rPr>
        <w:t>wyroku nakazowego;</w:t>
      </w:r>
    </w:p>
    <w:p w:rsidR="007E4468" w:rsidRPr="00163C1A" w:rsidRDefault="007E4468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</w:rPr>
      </w:pPr>
      <w:r w:rsidRPr="00163C1A">
        <w:rPr>
          <w:rFonts w:cs="Times New Roman"/>
        </w:rPr>
        <w:t>c</w:t>
      </w:r>
      <w:r w:rsidR="004A1CFD" w:rsidRPr="00163C1A">
        <w:rPr>
          <w:rFonts w:cs="Times New Roman"/>
        </w:rPr>
        <w:t xml:space="preserve">. </w:t>
      </w:r>
      <w:r w:rsidRPr="00163C1A">
        <w:rPr>
          <w:rFonts w:cs="Times New Roman"/>
        </w:rPr>
        <w:t>postanowienia</w:t>
      </w:r>
    </w:p>
    <w:p w:rsidR="007E4468" w:rsidRPr="00163C1A" w:rsidRDefault="007E4468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7E4468" w:rsidRPr="00163C1A" w:rsidRDefault="007E4468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Rozłożenie na raty obowiązku naprawienia szkody w postępowaniu wykonawczym</w:t>
      </w:r>
      <w:r w:rsidR="002921CE" w:rsidRPr="00163C1A">
        <w:rPr>
          <w:rFonts w:cs="Times New Roman"/>
          <w:b/>
        </w:rPr>
        <w:t>:</w:t>
      </w:r>
    </w:p>
    <w:p w:rsidR="007E4468" w:rsidRPr="00163C1A" w:rsidRDefault="007E4468" w:rsidP="004A1CFD">
      <w:pPr>
        <w:pStyle w:val="Akapitzlist"/>
        <w:numPr>
          <w:ilvl w:val="0"/>
          <w:numId w:val="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nie jest dopuszczalne;</w:t>
      </w:r>
    </w:p>
    <w:p w:rsidR="007E4468" w:rsidRPr="00163C1A" w:rsidRDefault="007E4468" w:rsidP="003C1357">
      <w:pPr>
        <w:pStyle w:val="Akapitzlist"/>
        <w:numPr>
          <w:ilvl w:val="0"/>
          <w:numId w:val="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jest dopuszczalne, ale okres rozłożenia na raty nie może przekroczyć 1 roku;</w:t>
      </w:r>
    </w:p>
    <w:p w:rsidR="007E4468" w:rsidRPr="00163C1A" w:rsidRDefault="007E4468" w:rsidP="003C1357">
      <w:pPr>
        <w:pStyle w:val="Akapitzlist"/>
        <w:numPr>
          <w:ilvl w:val="0"/>
          <w:numId w:val="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 xml:space="preserve">jest dopuszczalne, ale rozłożyć na raty może tylko </w:t>
      </w:r>
      <w:r w:rsidR="004274D6" w:rsidRPr="00163C1A">
        <w:rPr>
          <w:rFonts w:cs="Times New Roman"/>
        </w:rPr>
        <w:t>s</w:t>
      </w:r>
      <w:r w:rsidRPr="00163C1A">
        <w:rPr>
          <w:rFonts w:cs="Times New Roman"/>
        </w:rPr>
        <w:t>ąd.</w:t>
      </w:r>
    </w:p>
    <w:p w:rsidR="002921CE" w:rsidRPr="00163C1A" w:rsidRDefault="002921CE" w:rsidP="003C1357">
      <w:pPr>
        <w:pStyle w:val="Akapitzlist"/>
        <w:autoSpaceDE w:val="0"/>
        <w:adjustRightInd w:val="0"/>
        <w:spacing w:line="360" w:lineRule="auto"/>
        <w:ind w:left="1080"/>
        <w:jc w:val="both"/>
        <w:rPr>
          <w:rFonts w:cs="Times New Roman"/>
        </w:rPr>
      </w:pPr>
    </w:p>
    <w:p w:rsidR="007E4468" w:rsidRPr="00163C1A" w:rsidRDefault="002921CE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 xml:space="preserve">Sprawca, co do którego </w:t>
      </w:r>
      <w:r w:rsidR="004274D6" w:rsidRPr="00163C1A">
        <w:rPr>
          <w:rFonts w:cs="Times New Roman"/>
          <w:b/>
        </w:rPr>
        <w:t>s</w:t>
      </w:r>
      <w:r w:rsidRPr="00163C1A">
        <w:rPr>
          <w:rFonts w:cs="Times New Roman"/>
          <w:b/>
        </w:rPr>
        <w:t xml:space="preserve">ąd wyrokiem warunkowo umorzył postępowanie karne, w okresie próby popełnia umyślne przestępstwo, za które został prawomocnie skazany – </w:t>
      </w:r>
      <w:r w:rsidR="004274D6" w:rsidRPr="00163C1A">
        <w:rPr>
          <w:rFonts w:cs="Times New Roman"/>
          <w:b/>
        </w:rPr>
        <w:t>s</w:t>
      </w:r>
      <w:r w:rsidRPr="00163C1A">
        <w:rPr>
          <w:rFonts w:cs="Times New Roman"/>
          <w:b/>
        </w:rPr>
        <w:t>ąd wówczas:</w:t>
      </w:r>
    </w:p>
    <w:p w:rsidR="002921CE" w:rsidRPr="00163C1A" w:rsidRDefault="002921CE" w:rsidP="004A1CFD">
      <w:pPr>
        <w:pStyle w:val="Akapitzlist"/>
        <w:numPr>
          <w:ilvl w:val="0"/>
          <w:numId w:val="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podjąć postępowanie warunkowo umorzone;</w:t>
      </w:r>
    </w:p>
    <w:p w:rsidR="002921CE" w:rsidRPr="00163C1A" w:rsidRDefault="002921CE" w:rsidP="003C1357">
      <w:pPr>
        <w:pStyle w:val="Akapitzlist"/>
        <w:numPr>
          <w:ilvl w:val="0"/>
          <w:numId w:val="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podjąć postepowanie tylko na wniosek kuratora;</w:t>
      </w:r>
    </w:p>
    <w:p w:rsidR="002921CE" w:rsidRPr="00163C1A" w:rsidRDefault="002921CE" w:rsidP="003C1357">
      <w:pPr>
        <w:pStyle w:val="Akapitzlist"/>
        <w:numPr>
          <w:ilvl w:val="0"/>
          <w:numId w:val="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podejmuje postępowanie karne.</w:t>
      </w:r>
    </w:p>
    <w:p w:rsidR="002921CE" w:rsidRDefault="002921C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D7701E" w:rsidRDefault="00D770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D7701E" w:rsidRDefault="00D770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D7701E" w:rsidRPr="00163C1A" w:rsidRDefault="00D770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921CE" w:rsidRPr="00163C1A" w:rsidRDefault="002921CE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lastRenderedPageBreak/>
        <w:t>Kara ograniczenia wolności polega na:</w:t>
      </w:r>
    </w:p>
    <w:p w:rsidR="002921CE" w:rsidRPr="00163C1A" w:rsidRDefault="002921CE" w:rsidP="004A1CFD">
      <w:pPr>
        <w:pStyle w:val="Akapitzlist"/>
        <w:numPr>
          <w:ilvl w:val="0"/>
          <w:numId w:val="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obowiązku wykonywania nieodpłatnej, kontrolowanej pracy na cele społeczne;</w:t>
      </w:r>
    </w:p>
    <w:p w:rsidR="002921CE" w:rsidRPr="00163C1A" w:rsidRDefault="002921CE" w:rsidP="003C1357">
      <w:pPr>
        <w:pStyle w:val="Akapitzlist"/>
        <w:numPr>
          <w:ilvl w:val="0"/>
          <w:numId w:val="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 xml:space="preserve">potrąceniu od 10 % do 25 % wynagrodzenia za pracę w stosunku miesięcznym na cel społeczny wskazany przez </w:t>
      </w:r>
      <w:r w:rsidR="004274D6" w:rsidRPr="00163C1A">
        <w:rPr>
          <w:rFonts w:cs="Times New Roman"/>
        </w:rPr>
        <w:t>s</w:t>
      </w:r>
      <w:r w:rsidRPr="00163C1A">
        <w:rPr>
          <w:rFonts w:cs="Times New Roman"/>
        </w:rPr>
        <w:t>ąd;</w:t>
      </w:r>
    </w:p>
    <w:p w:rsidR="002921CE" w:rsidRPr="00163C1A" w:rsidRDefault="002921CE" w:rsidP="004A1CFD">
      <w:pPr>
        <w:pStyle w:val="Akapitzlist"/>
        <w:numPr>
          <w:ilvl w:val="0"/>
          <w:numId w:val="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obie odpowiedzi są prawidłowe.</w:t>
      </w:r>
    </w:p>
    <w:p w:rsidR="00845793" w:rsidRPr="00163C1A" w:rsidRDefault="00845793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921CE" w:rsidRPr="00163C1A" w:rsidRDefault="002921CE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Sąd wymierza karę łączną:</w:t>
      </w:r>
    </w:p>
    <w:p w:rsidR="002921CE" w:rsidRPr="00163C1A" w:rsidRDefault="002921CE" w:rsidP="004A1CFD">
      <w:pPr>
        <w:pStyle w:val="Akapitzlist"/>
        <w:numPr>
          <w:ilvl w:val="0"/>
          <w:numId w:val="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granicach powyżej najwyższej z kar wymierzonych za poszczególne przestępstwa do ich sumy;</w:t>
      </w:r>
    </w:p>
    <w:p w:rsidR="002921CE" w:rsidRPr="00163C1A" w:rsidRDefault="002921CE" w:rsidP="003C1357">
      <w:pPr>
        <w:pStyle w:val="Akapitzlist"/>
        <w:numPr>
          <w:ilvl w:val="0"/>
          <w:numId w:val="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granicach powyżej sumy kar wymierzonych za poszczególne przestępstwa;</w:t>
      </w:r>
    </w:p>
    <w:p w:rsidR="002921CE" w:rsidRPr="00163C1A" w:rsidRDefault="002921CE" w:rsidP="003C1357">
      <w:pPr>
        <w:pStyle w:val="Akapitzlist"/>
        <w:numPr>
          <w:ilvl w:val="0"/>
          <w:numId w:val="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granicach poniżej sumy kar za wymierzone przestępstwa</w:t>
      </w:r>
    </w:p>
    <w:p w:rsidR="004274D6" w:rsidRPr="00163C1A" w:rsidRDefault="004274D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4274D6" w:rsidRPr="00163C1A" w:rsidRDefault="004274D6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Wykonanie kary pozbawienia wolności :</w:t>
      </w:r>
    </w:p>
    <w:p w:rsidR="004274D6" w:rsidRPr="00163C1A" w:rsidRDefault="004274D6" w:rsidP="004A1CFD">
      <w:pPr>
        <w:pStyle w:val="Akapitzlist"/>
        <w:numPr>
          <w:ilvl w:val="0"/>
          <w:numId w:val="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warunkowo zawiesić tylko sąd w wyroku;</w:t>
      </w:r>
    </w:p>
    <w:p w:rsidR="004274D6" w:rsidRPr="00163C1A" w:rsidRDefault="004274D6" w:rsidP="003C1357">
      <w:pPr>
        <w:pStyle w:val="Akapitzlist"/>
        <w:numPr>
          <w:ilvl w:val="0"/>
          <w:numId w:val="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warunkowo zawiesić tylko sąd w postępowaniu wykonawczym;</w:t>
      </w:r>
    </w:p>
    <w:p w:rsidR="004274D6" w:rsidRPr="00163C1A" w:rsidRDefault="004274D6" w:rsidP="003C1357">
      <w:pPr>
        <w:pStyle w:val="Akapitzlist"/>
        <w:numPr>
          <w:ilvl w:val="0"/>
          <w:numId w:val="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warunkowo zawiesić sąd, o ile kara była wcześniej odroczona na okres 1 roku.</w:t>
      </w:r>
    </w:p>
    <w:p w:rsidR="00EF757A" w:rsidRPr="00163C1A" w:rsidRDefault="00EF757A" w:rsidP="003C1357">
      <w:pPr>
        <w:pStyle w:val="Akapitzlist"/>
        <w:autoSpaceDE w:val="0"/>
        <w:adjustRightInd w:val="0"/>
        <w:spacing w:line="360" w:lineRule="auto"/>
        <w:ind w:left="1080"/>
        <w:jc w:val="both"/>
        <w:rPr>
          <w:rFonts w:cs="Times New Roman"/>
        </w:rPr>
      </w:pPr>
    </w:p>
    <w:p w:rsidR="004274D6" w:rsidRPr="00163C1A" w:rsidRDefault="004274D6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Od postanowień i zarządzeń wydanych w postępowaniu karnym przez referendarza sądowego służy:</w:t>
      </w:r>
    </w:p>
    <w:p w:rsidR="004274D6" w:rsidRPr="00163C1A" w:rsidRDefault="004274D6" w:rsidP="004A1CFD">
      <w:pPr>
        <w:pStyle w:val="Akapitzlist"/>
        <w:numPr>
          <w:ilvl w:val="0"/>
          <w:numId w:val="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zażalenie;</w:t>
      </w:r>
    </w:p>
    <w:p w:rsidR="004274D6" w:rsidRPr="00163C1A" w:rsidRDefault="004274D6" w:rsidP="003C1357">
      <w:pPr>
        <w:pStyle w:val="Akapitzlist"/>
        <w:numPr>
          <w:ilvl w:val="0"/>
          <w:numId w:val="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skarga;</w:t>
      </w:r>
    </w:p>
    <w:p w:rsidR="004274D6" w:rsidRPr="00163C1A" w:rsidRDefault="004274D6" w:rsidP="003C1357">
      <w:pPr>
        <w:pStyle w:val="Akapitzlist"/>
        <w:numPr>
          <w:ilvl w:val="0"/>
          <w:numId w:val="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sprzeciw.</w:t>
      </w:r>
    </w:p>
    <w:p w:rsidR="005B043D" w:rsidRPr="00163C1A" w:rsidRDefault="005B043D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</w:p>
    <w:p w:rsidR="005B043D" w:rsidRPr="00163C1A" w:rsidRDefault="005B043D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Na etapie wstępnej kontroli aktu oskarżenia referendarz sądowy:</w:t>
      </w:r>
    </w:p>
    <w:p w:rsidR="005B043D" w:rsidRPr="00163C1A" w:rsidRDefault="005B043D" w:rsidP="004A1CFD">
      <w:pPr>
        <w:pStyle w:val="Akapitzlist"/>
        <w:numPr>
          <w:ilvl w:val="0"/>
          <w:numId w:val="1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wydać zarządzenie o zwrocie aktu oskarżenia prokuratorowi;</w:t>
      </w:r>
    </w:p>
    <w:p w:rsidR="005B043D" w:rsidRPr="00163C1A" w:rsidRDefault="005619AC" w:rsidP="003C1357">
      <w:pPr>
        <w:pStyle w:val="Akapitzlist"/>
        <w:numPr>
          <w:ilvl w:val="0"/>
          <w:numId w:val="1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</w:t>
      </w:r>
      <w:r w:rsidR="005B043D" w:rsidRPr="00163C1A">
        <w:rPr>
          <w:rFonts w:cs="Times New Roman"/>
        </w:rPr>
        <w:t>oże wydać zarządzenie o doręczeniu odpisu aktu oskarżenia oskarżonemu, jeżeli akt oskarżenia odpowiada warunkom formalnym;</w:t>
      </w:r>
    </w:p>
    <w:p w:rsidR="005619AC" w:rsidRPr="00163C1A" w:rsidRDefault="005619AC" w:rsidP="003C1357">
      <w:pPr>
        <w:pStyle w:val="Akapitzlist"/>
        <w:numPr>
          <w:ilvl w:val="0"/>
          <w:numId w:val="1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obie odpowiedzi są prawidłowe</w:t>
      </w:r>
    </w:p>
    <w:p w:rsidR="005619AC" w:rsidRPr="00163C1A" w:rsidRDefault="005619AC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5619AC" w:rsidRPr="00163C1A" w:rsidRDefault="005619AC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Świadczenie Pieniężnie orzeczone na rzecz Funduszu Pomocy Pokrzywdzonym oraz  Pomocy Postpenitencjarnej :</w:t>
      </w:r>
    </w:p>
    <w:p w:rsidR="005619AC" w:rsidRPr="00163C1A" w:rsidRDefault="005619AC" w:rsidP="004A1CFD">
      <w:pPr>
        <w:pStyle w:val="Akapitzlist"/>
        <w:numPr>
          <w:ilvl w:val="0"/>
          <w:numId w:val="1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nie podlega zamianie na karę zastępczą;</w:t>
      </w:r>
    </w:p>
    <w:p w:rsidR="005619AC" w:rsidRPr="00163C1A" w:rsidRDefault="005619AC" w:rsidP="003C1357">
      <w:pPr>
        <w:pStyle w:val="Akapitzlist"/>
        <w:numPr>
          <w:ilvl w:val="0"/>
          <w:numId w:val="1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podlega egzekucji komorniczej;</w:t>
      </w:r>
    </w:p>
    <w:p w:rsidR="005619AC" w:rsidRPr="00163C1A" w:rsidRDefault="005619AC" w:rsidP="003C1357">
      <w:pPr>
        <w:pStyle w:val="Akapitzlist"/>
        <w:numPr>
          <w:ilvl w:val="0"/>
          <w:numId w:val="1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obie odpowiedzi są prawidłowe.</w:t>
      </w:r>
    </w:p>
    <w:p w:rsidR="005619AC" w:rsidRPr="00163C1A" w:rsidRDefault="005619AC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</w:p>
    <w:p w:rsidR="005619AC" w:rsidRPr="00163C1A" w:rsidRDefault="005619AC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lastRenderedPageBreak/>
        <w:t>Orzeczenie przez sąd wyrokiem karnym odszkodowania lub zadośćuczynienia:</w:t>
      </w:r>
    </w:p>
    <w:p w:rsidR="005619AC" w:rsidRPr="00163C1A" w:rsidRDefault="005619AC" w:rsidP="004A1CFD">
      <w:pPr>
        <w:pStyle w:val="Akapitzlist"/>
        <w:numPr>
          <w:ilvl w:val="0"/>
          <w:numId w:val="12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wyklucza możliwość dochodzenia roszczenia na drodze cywilnej;</w:t>
      </w:r>
    </w:p>
    <w:p w:rsidR="005619AC" w:rsidRPr="00163C1A" w:rsidRDefault="005619AC" w:rsidP="003C1357">
      <w:pPr>
        <w:pStyle w:val="Akapitzlist"/>
        <w:numPr>
          <w:ilvl w:val="0"/>
          <w:numId w:val="12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nie wyklucza dochodzenia niezaspokojonej części roszczenia  na drodze cywilnej;</w:t>
      </w:r>
    </w:p>
    <w:p w:rsidR="005619AC" w:rsidRPr="00163C1A" w:rsidRDefault="005619AC" w:rsidP="003C1357">
      <w:pPr>
        <w:pStyle w:val="Akapitzlist"/>
        <w:numPr>
          <w:ilvl w:val="0"/>
          <w:numId w:val="12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 xml:space="preserve">nie wyklucza dochodzenia całości roszczenia na drodze cywilnej </w:t>
      </w:r>
    </w:p>
    <w:p w:rsidR="007C4E55" w:rsidRPr="00163C1A" w:rsidRDefault="007C4E55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7C4E55" w:rsidRPr="00163C1A" w:rsidRDefault="007C4E55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W postępowaniu karnym wykonawczym referendarz sądowy może:</w:t>
      </w:r>
    </w:p>
    <w:p w:rsidR="007C4E55" w:rsidRPr="00163C1A" w:rsidRDefault="00627061" w:rsidP="004A1CFD">
      <w:pPr>
        <w:pStyle w:val="Akapitzlist"/>
        <w:numPr>
          <w:ilvl w:val="0"/>
          <w:numId w:val="13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</w:t>
      </w:r>
      <w:r w:rsidR="007C4E55" w:rsidRPr="00163C1A">
        <w:rPr>
          <w:rFonts w:cs="Times New Roman"/>
        </w:rPr>
        <w:t>rzec karę zastępcza pracy społecznie użytecznej za grzywnę;</w:t>
      </w:r>
    </w:p>
    <w:p w:rsidR="007C4E55" w:rsidRPr="00163C1A" w:rsidRDefault="00627061" w:rsidP="003C1357">
      <w:pPr>
        <w:pStyle w:val="Akapitzlist"/>
        <w:numPr>
          <w:ilvl w:val="0"/>
          <w:numId w:val="13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orzec zastępczą karę pozbawienia wolności w miejsce kary ograniczenia wolności;</w:t>
      </w:r>
    </w:p>
    <w:p w:rsidR="00627061" w:rsidRPr="00163C1A" w:rsidRDefault="00627061" w:rsidP="003C1357">
      <w:pPr>
        <w:pStyle w:val="Akapitzlist"/>
        <w:numPr>
          <w:ilvl w:val="0"/>
          <w:numId w:val="13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wydać rozstrzygnięcie co do wątpliwości w zakresie wykonania orzeczenia sądu lub zarzutów co do obliczenia kary.</w:t>
      </w:r>
    </w:p>
    <w:p w:rsidR="003B7B12" w:rsidRPr="00163C1A" w:rsidRDefault="003B7B12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3B7B12" w:rsidRPr="00163C1A" w:rsidRDefault="003B7B12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Wydanie wyroku nakazowego w postępowaniu karnym jest możliwe w sprawach:</w:t>
      </w:r>
    </w:p>
    <w:p w:rsidR="003B7B12" w:rsidRPr="00163C1A" w:rsidRDefault="003B7B12" w:rsidP="004A1CFD">
      <w:pPr>
        <w:pStyle w:val="Akapitzlist"/>
        <w:numPr>
          <w:ilvl w:val="0"/>
          <w:numId w:val="1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których postępowanie przygotowawcze prowadzone było w formie dochodzenia;</w:t>
      </w:r>
    </w:p>
    <w:p w:rsidR="003B7B12" w:rsidRPr="00163C1A" w:rsidRDefault="003B7B12" w:rsidP="003C1357">
      <w:pPr>
        <w:pStyle w:val="Akapitzlist"/>
        <w:numPr>
          <w:ilvl w:val="0"/>
          <w:numId w:val="1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których postępowanie karne prowadzone było w formie śledztwa;</w:t>
      </w:r>
    </w:p>
    <w:p w:rsidR="003B7B12" w:rsidRPr="00163C1A" w:rsidRDefault="003B7B12" w:rsidP="003C1357">
      <w:pPr>
        <w:pStyle w:val="Akapitzlist"/>
        <w:numPr>
          <w:ilvl w:val="0"/>
          <w:numId w:val="14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 sprawach z oskarżenia prywatnego.</w:t>
      </w:r>
    </w:p>
    <w:p w:rsidR="003B7B12" w:rsidRDefault="003B7B12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3B7B12" w:rsidRPr="00163C1A" w:rsidRDefault="008B6461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W postępowaniu karnym oskarżyciel publiczny może cofnąć akt oskarżenia :</w:t>
      </w:r>
    </w:p>
    <w:p w:rsidR="008B6461" w:rsidRPr="00163C1A" w:rsidRDefault="008B6461" w:rsidP="004A1CFD">
      <w:pPr>
        <w:pStyle w:val="Akapitzlist"/>
        <w:numPr>
          <w:ilvl w:val="0"/>
          <w:numId w:val="1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jedynie do czasu rozpoczęcia przewodu sądowego  na pierwszej rozprawie głównej pod warunkiem uzyskania zgody pokrzywdzonego;</w:t>
      </w:r>
    </w:p>
    <w:p w:rsidR="008B6461" w:rsidRPr="00163C1A" w:rsidRDefault="008B6461" w:rsidP="003C1357">
      <w:pPr>
        <w:pStyle w:val="Akapitzlist"/>
        <w:numPr>
          <w:ilvl w:val="0"/>
          <w:numId w:val="1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do czasu rozpoczęcia przewodu sądowego na pierwszej rozprawie głównej, a w toku przewodu sądowego przed sądem I instancji jedynie za równoczesną zgodą oskarżonego i pokrzywdzonego;</w:t>
      </w:r>
    </w:p>
    <w:p w:rsidR="008B6461" w:rsidRPr="00163C1A" w:rsidRDefault="008B6461" w:rsidP="003C1357">
      <w:pPr>
        <w:pStyle w:val="Akapitzlist"/>
        <w:numPr>
          <w:ilvl w:val="0"/>
          <w:numId w:val="15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do czasu rozpoczęcia przewodu sądowego  na pierwszej rozprawie głównej, a w toku przewodu sądowego przed sądem I instancji jedynie za zgodą oskarżonego.</w:t>
      </w:r>
    </w:p>
    <w:p w:rsidR="008B6461" w:rsidRPr="00163C1A" w:rsidRDefault="008B6461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</w:p>
    <w:p w:rsidR="008B6461" w:rsidRPr="00163C1A" w:rsidRDefault="00371075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Zgodnie z ko</w:t>
      </w:r>
      <w:r w:rsidR="00EF757A" w:rsidRPr="00163C1A">
        <w:rPr>
          <w:rFonts w:cs="Times New Roman"/>
          <w:b/>
        </w:rPr>
        <w:t>deksem postępowania karnego referendarz sądowy może wydać następujące orzeczenia:</w:t>
      </w:r>
    </w:p>
    <w:p w:rsidR="00EF757A" w:rsidRPr="00163C1A" w:rsidRDefault="00EF757A" w:rsidP="004A1CFD">
      <w:pPr>
        <w:pStyle w:val="Akapitzlist"/>
        <w:numPr>
          <w:ilvl w:val="0"/>
          <w:numId w:val="1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postanowienie o skierowaniu sprawy do postępowanie mediacyjnego;</w:t>
      </w:r>
    </w:p>
    <w:p w:rsidR="00EF757A" w:rsidRPr="00163C1A" w:rsidRDefault="00EF757A" w:rsidP="003C1357">
      <w:pPr>
        <w:pStyle w:val="Akapitzlist"/>
        <w:numPr>
          <w:ilvl w:val="0"/>
          <w:numId w:val="1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wyrok warunkowo umarzający postępowanie ;</w:t>
      </w:r>
    </w:p>
    <w:p w:rsidR="00EF757A" w:rsidRPr="00163C1A" w:rsidRDefault="00EF757A" w:rsidP="003C1357">
      <w:pPr>
        <w:pStyle w:val="Akapitzlist"/>
        <w:numPr>
          <w:ilvl w:val="0"/>
          <w:numId w:val="16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postanowienie o zawieszeniu postępowania karnego.</w:t>
      </w:r>
    </w:p>
    <w:p w:rsidR="00EF757A" w:rsidRPr="00163C1A" w:rsidRDefault="00EF757A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w sprawach o wykroczenia od wyroku nakazowego przysługuje:</w:t>
      </w:r>
    </w:p>
    <w:p w:rsidR="00EF757A" w:rsidRPr="00163C1A" w:rsidRDefault="00EF757A" w:rsidP="004A1CFD">
      <w:pPr>
        <w:pStyle w:val="Akapitzlist"/>
        <w:numPr>
          <w:ilvl w:val="0"/>
          <w:numId w:val="1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skarga;</w:t>
      </w:r>
    </w:p>
    <w:p w:rsidR="00EF757A" w:rsidRPr="00163C1A" w:rsidRDefault="00EF757A" w:rsidP="003C1357">
      <w:pPr>
        <w:pStyle w:val="Akapitzlist"/>
        <w:numPr>
          <w:ilvl w:val="0"/>
          <w:numId w:val="1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sprzeciw;</w:t>
      </w:r>
    </w:p>
    <w:p w:rsidR="00EF757A" w:rsidRDefault="00EF757A" w:rsidP="003C1357">
      <w:pPr>
        <w:pStyle w:val="Akapitzlist"/>
        <w:numPr>
          <w:ilvl w:val="0"/>
          <w:numId w:val="17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apelacja</w:t>
      </w:r>
    </w:p>
    <w:p w:rsidR="00D859D0" w:rsidRPr="00163C1A" w:rsidRDefault="00D859D0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lastRenderedPageBreak/>
        <w:t>Zgodnie z kodeksem postępowania karnego oskarżony może mieć jednocześnie:</w:t>
      </w:r>
    </w:p>
    <w:p w:rsidR="00D859D0" w:rsidRPr="00163C1A" w:rsidRDefault="00D859D0" w:rsidP="004A1CFD">
      <w:pPr>
        <w:pStyle w:val="Akapitzlist"/>
        <w:numPr>
          <w:ilvl w:val="0"/>
          <w:numId w:val="1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tylko 1 obrońcę z wyboru;</w:t>
      </w:r>
    </w:p>
    <w:p w:rsidR="00D859D0" w:rsidRPr="00163C1A" w:rsidRDefault="00D859D0" w:rsidP="003C1357">
      <w:pPr>
        <w:pStyle w:val="Akapitzlist"/>
        <w:numPr>
          <w:ilvl w:val="0"/>
          <w:numId w:val="1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łącznie 2 obrońców z wyboru;</w:t>
      </w:r>
    </w:p>
    <w:p w:rsidR="00D859D0" w:rsidRPr="00163C1A" w:rsidRDefault="00D859D0" w:rsidP="003C1357">
      <w:pPr>
        <w:pStyle w:val="Akapitzlist"/>
        <w:numPr>
          <w:ilvl w:val="0"/>
          <w:numId w:val="18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nie więcej niż 3 obrońców z wyboru.</w:t>
      </w:r>
    </w:p>
    <w:p w:rsidR="00D859D0" w:rsidRPr="00163C1A" w:rsidRDefault="00D859D0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</w:p>
    <w:p w:rsidR="00D859D0" w:rsidRPr="00163C1A" w:rsidRDefault="00D859D0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 xml:space="preserve">Zgodnie z kodeksem karnym </w:t>
      </w:r>
      <w:r w:rsidR="004926C5" w:rsidRPr="00163C1A">
        <w:rPr>
          <w:rFonts w:cs="Times New Roman"/>
          <w:b/>
        </w:rPr>
        <w:t xml:space="preserve">w przypadku orzeczenia kary pozbawienia wolności z </w:t>
      </w:r>
      <w:r w:rsidRPr="00163C1A">
        <w:rPr>
          <w:rFonts w:cs="Times New Roman"/>
          <w:b/>
        </w:rPr>
        <w:t xml:space="preserve"> warunkow</w:t>
      </w:r>
      <w:r w:rsidR="004926C5" w:rsidRPr="00163C1A">
        <w:rPr>
          <w:rFonts w:cs="Times New Roman"/>
          <w:b/>
        </w:rPr>
        <w:t>ym</w:t>
      </w:r>
      <w:r w:rsidRPr="00163C1A">
        <w:rPr>
          <w:rFonts w:cs="Times New Roman"/>
          <w:b/>
        </w:rPr>
        <w:t xml:space="preserve"> </w:t>
      </w:r>
      <w:r w:rsidR="004926C5" w:rsidRPr="00163C1A">
        <w:rPr>
          <w:rFonts w:cs="Times New Roman"/>
          <w:b/>
        </w:rPr>
        <w:t xml:space="preserve">zawieszeniem jej </w:t>
      </w:r>
      <w:r w:rsidRPr="00163C1A">
        <w:rPr>
          <w:rFonts w:cs="Times New Roman"/>
          <w:b/>
        </w:rPr>
        <w:t xml:space="preserve"> wykonania </w:t>
      </w:r>
      <w:r w:rsidR="004926C5" w:rsidRPr="00163C1A">
        <w:rPr>
          <w:rFonts w:cs="Times New Roman"/>
          <w:b/>
        </w:rPr>
        <w:t>wobec sprawcy młodocianego okres próby wynosi:</w:t>
      </w:r>
    </w:p>
    <w:p w:rsidR="004926C5" w:rsidRPr="00163C1A" w:rsidRDefault="004A1CFD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</w:rPr>
      </w:pPr>
      <w:r w:rsidRPr="00163C1A">
        <w:rPr>
          <w:rFonts w:cs="Times New Roman"/>
        </w:rPr>
        <w:t xml:space="preserve">a. </w:t>
      </w:r>
      <w:r w:rsidR="004926C5" w:rsidRPr="00163C1A">
        <w:rPr>
          <w:rFonts w:cs="Times New Roman"/>
        </w:rPr>
        <w:t>od roku do trzech lat;</w:t>
      </w:r>
    </w:p>
    <w:p w:rsidR="004926C5" w:rsidRPr="00163C1A" w:rsidRDefault="004A1CFD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</w:rPr>
      </w:pPr>
      <w:r w:rsidRPr="00163C1A">
        <w:rPr>
          <w:rFonts w:cs="Times New Roman"/>
        </w:rPr>
        <w:t xml:space="preserve">b. </w:t>
      </w:r>
      <w:r w:rsidR="004926C5" w:rsidRPr="00163C1A">
        <w:rPr>
          <w:rFonts w:cs="Times New Roman"/>
        </w:rPr>
        <w:t>od 6 miesięcy do lat dwóch;</w:t>
      </w:r>
    </w:p>
    <w:p w:rsidR="004926C5" w:rsidRPr="00163C1A" w:rsidRDefault="004A1CFD" w:rsidP="003C1357">
      <w:pPr>
        <w:pStyle w:val="Akapitzlist"/>
        <w:autoSpaceDE w:val="0"/>
        <w:adjustRightInd w:val="0"/>
        <w:spacing w:line="360" w:lineRule="auto"/>
        <w:ind w:left="720"/>
        <w:jc w:val="both"/>
        <w:rPr>
          <w:rFonts w:cs="Times New Roman"/>
        </w:rPr>
      </w:pPr>
      <w:r w:rsidRPr="00163C1A">
        <w:rPr>
          <w:rFonts w:cs="Times New Roman"/>
        </w:rPr>
        <w:t xml:space="preserve">c. </w:t>
      </w:r>
      <w:r w:rsidR="004926C5" w:rsidRPr="00163C1A">
        <w:rPr>
          <w:rFonts w:cs="Times New Roman"/>
        </w:rPr>
        <w:t>od dwóch do pięciu lat.</w:t>
      </w: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4926C5" w:rsidRPr="00163C1A" w:rsidRDefault="004926C5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Zgodnie z kodeksem karnym skarbowym sąd orzekając karę grzywny za przestępstwo skarbowe:</w:t>
      </w:r>
    </w:p>
    <w:p w:rsidR="004926C5" w:rsidRPr="00163C1A" w:rsidRDefault="004926C5" w:rsidP="004A1CFD">
      <w:pPr>
        <w:pStyle w:val="Akapitzlist"/>
        <w:numPr>
          <w:ilvl w:val="0"/>
          <w:numId w:val="1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określą ją kwotowo;</w:t>
      </w:r>
    </w:p>
    <w:p w:rsidR="004926C5" w:rsidRPr="00163C1A" w:rsidRDefault="004926C5" w:rsidP="003C1357">
      <w:pPr>
        <w:pStyle w:val="Akapitzlist"/>
        <w:numPr>
          <w:ilvl w:val="0"/>
          <w:numId w:val="1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określą ją w stawkach dziennych;</w:t>
      </w:r>
    </w:p>
    <w:p w:rsidR="004926C5" w:rsidRPr="00163C1A" w:rsidRDefault="004926C5" w:rsidP="003C1357">
      <w:pPr>
        <w:pStyle w:val="Akapitzlist"/>
        <w:numPr>
          <w:ilvl w:val="0"/>
          <w:numId w:val="19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obie odpowiedzi są prawidłowe.</w:t>
      </w:r>
    </w:p>
    <w:p w:rsidR="00C31379" w:rsidRPr="00163C1A" w:rsidRDefault="00C31379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31379" w:rsidRPr="00163C1A" w:rsidRDefault="00C31379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Zgodnie z kodeksem postępowania karnego środek odwoławczy wniesiony na korzyść oskarżonego:</w:t>
      </w:r>
    </w:p>
    <w:p w:rsidR="00C31379" w:rsidRPr="00163C1A" w:rsidRDefault="00C31379" w:rsidP="004A1CFD">
      <w:pPr>
        <w:pStyle w:val="Akapitzlist"/>
        <w:numPr>
          <w:ilvl w:val="0"/>
          <w:numId w:val="2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być cofnięty bez jego zgody jeżeli został wniesiony przez prokuratora ;</w:t>
      </w:r>
    </w:p>
    <w:p w:rsidR="00C31379" w:rsidRPr="00163C1A" w:rsidRDefault="00C31379" w:rsidP="003C1357">
      <w:pPr>
        <w:pStyle w:val="Akapitzlist"/>
        <w:numPr>
          <w:ilvl w:val="0"/>
          <w:numId w:val="2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może być cofnięty bez jego zgody jeżeli został wniesiony przez obrońcę z wyboru oskarżonego;</w:t>
      </w:r>
    </w:p>
    <w:p w:rsidR="00C31379" w:rsidRPr="00163C1A" w:rsidRDefault="00C31379" w:rsidP="003C1357">
      <w:pPr>
        <w:pStyle w:val="Akapitzlist"/>
        <w:numPr>
          <w:ilvl w:val="0"/>
          <w:numId w:val="20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 xml:space="preserve">nie może być </w:t>
      </w:r>
      <w:r w:rsidR="00CA7DFD" w:rsidRPr="00163C1A">
        <w:rPr>
          <w:rFonts w:cs="Times New Roman"/>
        </w:rPr>
        <w:t>cofnięty bez zgody oskarżonego.</w:t>
      </w:r>
    </w:p>
    <w:p w:rsidR="00845793" w:rsidRPr="00163C1A" w:rsidRDefault="00845793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</w:p>
    <w:p w:rsidR="00CA7DFD" w:rsidRPr="00163C1A" w:rsidRDefault="00CA7DFD" w:rsidP="003C1357">
      <w:pPr>
        <w:pStyle w:val="Akapitzlist"/>
        <w:numPr>
          <w:ilvl w:val="0"/>
          <w:numId w:val="22"/>
        </w:num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Karalność wykroczenia ustaje jeżeli od czasu jego popełnienia upłynął rok, jeżeli w tym okresie wszczęto postępowanie w sprawie o wykroczenie karalność wykroczenia ustaje:</w:t>
      </w:r>
    </w:p>
    <w:p w:rsidR="00CA7DFD" w:rsidRPr="00163C1A" w:rsidRDefault="00CA7DFD" w:rsidP="004A1CFD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z upływem 2 lat od zakończenia tego okresu;</w:t>
      </w:r>
    </w:p>
    <w:p w:rsidR="00CA7DFD" w:rsidRPr="00163C1A" w:rsidRDefault="00CA7DFD" w:rsidP="003C1357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z upływem 3 lat od zakończenia tego okresu;</w:t>
      </w:r>
    </w:p>
    <w:p w:rsidR="00CA7DFD" w:rsidRPr="00163C1A" w:rsidRDefault="00CA7DFD" w:rsidP="003C1357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>z upływem 5 lat od zakończenia tego okresu</w:t>
      </w:r>
    </w:p>
    <w:p w:rsidR="00F606F5" w:rsidRPr="00163C1A" w:rsidRDefault="00F606F5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7C21B5" w:rsidRPr="00732C71" w:rsidRDefault="007C21B5" w:rsidP="00732C71">
      <w:pPr>
        <w:spacing w:line="360" w:lineRule="auto"/>
        <w:ind w:firstLine="708"/>
        <w:jc w:val="both"/>
        <w:rPr>
          <w:rFonts w:cs="Times New Roman"/>
          <w:b/>
        </w:rPr>
      </w:pPr>
      <w:bookmarkStart w:id="0" w:name="_GoBack"/>
      <w:bookmarkEnd w:id="0"/>
    </w:p>
    <w:sectPr w:rsidR="007C21B5" w:rsidRPr="00732C71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499" w:rsidRDefault="005E0499">
      <w:r>
        <w:separator/>
      </w:r>
    </w:p>
  </w:endnote>
  <w:endnote w:type="continuationSeparator" w:id="0">
    <w:p w:rsidR="005E0499" w:rsidRDefault="005E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5703517"/>
      <w:docPartObj>
        <w:docPartGallery w:val="Page Numbers (Bottom of Page)"/>
        <w:docPartUnique/>
      </w:docPartObj>
    </w:sdtPr>
    <w:sdtContent>
      <w:p w:rsidR="00D7701E" w:rsidRDefault="00D770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701E" w:rsidRDefault="00D770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499" w:rsidRDefault="005E0499">
      <w:r>
        <w:rPr>
          <w:color w:val="000000"/>
        </w:rPr>
        <w:separator/>
      </w:r>
    </w:p>
  </w:footnote>
  <w:footnote w:type="continuationSeparator" w:id="0">
    <w:p w:rsidR="005E0499" w:rsidRDefault="005E0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7A7"/>
    <w:multiLevelType w:val="hybridMultilevel"/>
    <w:tmpl w:val="DE04C3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54C6E"/>
    <w:multiLevelType w:val="hybridMultilevel"/>
    <w:tmpl w:val="B89A9950"/>
    <w:lvl w:ilvl="0" w:tplc="04150019">
      <w:start w:val="1"/>
      <w:numFmt w:val="lowerLetter"/>
      <w:lvlText w:val="%1."/>
      <w:lvlJc w:val="left"/>
      <w:pPr>
        <w:ind w:left="13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</w:lvl>
    <w:lvl w:ilvl="2" w:tplc="0415001B">
      <w:start w:val="1"/>
      <w:numFmt w:val="lowerRoman"/>
      <w:lvlText w:val="%3."/>
      <w:lvlJc w:val="right"/>
      <w:pPr>
        <w:ind w:left="2791" w:hanging="180"/>
      </w:pPr>
    </w:lvl>
    <w:lvl w:ilvl="3" w:tplc="0415000F">
      <w:start w:val="1"/>
      <w:numFmt w:val="decimal"/>
      <w:lvlText w:val="%4."/>
      <w:lvlJc w:val="left"/>
      <w:pPr>
        <w:ind w:left="3511" w:hanging="360"/>
      </w:pPr>
    </w:lvl>
    <w:lvl w:ilvl="4" w:tplc="04150019">
      <w:start w:val="1"/>
      <w:numFmt w:val="lowerLetter"/>
      <w:lvlText w:val="%5."/>
      <w:lvlJc w:val="left"/>
      <w:pPr>
        <w:ind w:left="4231" w:hanging="360"/>
      </w:pPr>
    </w:lvl>
    <w:lvl w:ilvl="5" w:tplc="0415001B">
      <w:start w:val="1"/>
      <w:numFmt w:val="lowerRoman"/>
      <w:lvlText w:val="%6."/>
      <w:lvlJc w:val="right"/>
      <w:pPr>
        <w:ind w:left="4951" w:hanging="180"/>
      </w:pPr>
    </w:lvl>
    <w:lvl w:ilvl="6" w:tplc="0415000F">
      <w:start w:val="1"/>
      <w:numFmt w:val="decimal"/>
      <w:lvlText w:val="%7."/>
      <w:lvlJc w:val="left"/>
      <w:pPr>
        <w:ind w:left="5671" w:hanging="360"/>
      </w:pPr>
    </w:lvl>
    <w:lvl w:ilvl="7" w:tplc="04150019">
      <w:start w:val="1"/>
      <w:numFmt w:val="lowerLetter"/>
      <w:lvlText w:val="%8."/>
      <w:lvlJc w:val="left"/>
      <w:pPr>
        <w:ind w:left="6391" w:hanging="360"/>
      </w:pPr>
    </w:lvl>
    <w:lvl w:ilvl="8" w:tplc="0415001B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04D87953"/>
    <w:multiLevelType w:val="hybridMultilevel"/>
    <w:tmpl w:val="C5ACEA4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9452A"/>
    <w:multiLevelType w:val="hybridMultilevel"/>
    <w:tmpl w:val="56C2DF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50C1C"/>
    <w:multiLevelType w:val="hybridMultilevel"/>
    <w:tmpl w:val="4EC8CD34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BB6BB4"/>
    <w:multiLevelType w:val="hybridMultilevel"/>
    <w:tmpl w:val="36EA3738"/>
    <w:lvl w:ilvl="0" w:tplc="AD6C8A1A">
      <w:start w:val="1"/>
      <w:numFmt w:val="lowerLetter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1DA"/>
    <w:multiLevelType w:val="hybridMultilevel"/>
    <w:tmpl w:val="00BC8052"/>
    <w:lvl w:ilvl="0" w:tplc="438E106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A338C"/>
    <w:multiLevelType w:val="hybridMultilevel"/>
    <w:tmpl w:val="57EAF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8210F"/>
    <w:multiLevelType w:val="hybridMultilevel"/>
    <w:tmpl w:val="B3EC168A"/>
    <w:lvl w:ilvl="0" w:tplc="07C0B59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15B55"/>
    <w:multiLevelType w:val="hybridMultilevel"/>
    <w:tmpl w:val="05887D6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9D78DF"/>
    <w:multiLevelType w:val="hybridMultilevel"/>
    <w:tmpl w:val="0E424D24"/>
    <w:lvl w:ilvl="0" w:tplc="C966FDF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6590"/>
    <w:multiLevelType w:val="hybridMultilevel"/>
    <w:tmpl w:val="16EA8F1A"/>
    <w:lvl w:ilvl="0" w:tplc="50006B98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C4B0D"/>
    <w:multiLevelType w:val="hybridMultilevel"/>
    <w:tmpl w:val="E4F4F6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8053905"/>
    <w:multiLevelType w:val="hybridMultilevel"/>
    <w:tmpl w:val="39CC911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7B1AC8"/>
    <w:multiLevelType w:val="hybridMultilevel"/>
    <w:tmpl w:val="58ECC7B6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835990"/>
    <w:multiLevelType w:val="hybridMultilevel"/>
    <w:tmpl w:val="508EDD7E"/>
    <w:lvl w:ilvl="0" w:tplc="B354441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85117B"/>
    <w:multiLevelType w:val="hybridMultilevel"/>
    <w:tmpl w:val="70E8DB94"/>
    <w:lvl w:ilvl="0" w:tplc="14846A7C">
      <w:start w:val="1"/>
      <w:numFmt w:val="lowerLetter"/>
      <w:lvlText w:val="%1)"/>
      <w:lvlJc w:val="left"/>
      <w:pPr>
        <w:ind w:left="1800" w:hanging="360"/>
      </w:pPr>
      <w:rPr>
        <w:rFonts w:ascii="Bookman Old Style" w:eastAsia="SimSun" w:hAnsi="Bookman Old Style" w:cs="Times New Roman"/>
      </w:rPr>
    </w:lvl>
    <w:lvl w:ilvl="1" w:tplc="8132F66A">
      <w:start w:val="1"/>
      <w:numFmt w:val="lowerLetter"/>
      <w:lvlText w:val="%2."/>
      <w:lvlJc w:val="left"/>
      <w:pPr>
        <w:ind w:left="2520" w:hanging="360"/>
      </w:pPr>
      <w:rPr>
        <w:rFonts w:ascii="Bookman Old Style" w:eastAsia="SimSu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F331D5D"/>
    <w:multiLevelType w:val="hybridMultilevel"/>
    <w:tmpl w:val="2292A29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6405F2"/>
    <w:multiLevelType w:val="hybridMultilevel"/>
    <w:tmpl w:val="D6E464DE"/>
    <w:lvl w:ilvl="0" w:tplc="06B22D2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FE6D6D"/>
    <w:multiLevelType w:val="hybridMultilevel"/>
    <w:tmpl w:val="8CA4DAE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5AB58C4"/>
    <w:multiLevelType w:val="hybridMultilevel"/>
    <w:tmpl w:val="29C48A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553B9"/>
    <w:multiLevelType w:val="hybridMultilevel"/>
    <w:tmpl w:val="6BECB010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03F0E"/>
    <w:multiLevelType w:val="hybridMultilevel"/>
    <w:tmpl w:val="ACEE9A4C"/>
    <w:lvl w:ilvl="0" w:tplc="6FA23B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B4F2271"/>
    <w:multiLevelType w:val="hybridMultilevel"/>
    <w:tmpl w:val="A9DA8D80"/>
    <w:lvl w:ilvl="0" w:tplc="0B58ABD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B85EE5"/>
    <w:multiLevelType w:val="hybridMultilevel"/>
    <w:tmpl w:val="DDBAA5A0"/>
    <w:lvl w:ilvl="0" w:tplc="8B4444C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FF7ADA"/>
    <w:multiLevelType w:val="hybridMultilevel"/>
    <w:tmpl w:val="83E0C09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D391097"/>
    <w:multiLevelType w:val="hybridMultilevel"/>
    <w:tmpl w:val="466C217E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52205BF"/>
    <w:multiLevelType w:val="hybridMultilevel"/>
    <w:tmpl w:val="348414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7B07B9"/>
    <w:multiLevelType w:val="hybridMultilevel"/>
    <w:tmpl w:val="120E055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2A4651"/>
    <w:multiLevelType w:val="hybridMultilevel"/>
    <w:tmpl w:val="8806AE16"/>
    <w:lvl w:ilvl="0" w:tplc="0DDCFAC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C962A5"/>
    <w:multiLevelType w:val="hybridMultilevel"/>
    <w:tmpl w:val="3288E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61C0F"/>
    <w:multiLevelType w:val="hybridMultilevel"/>
    <w:tmpl w:val="2BE8BF8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E01F69"/>
    <w:multiLevelType w:val="hybridMultilevel"/>
    <w:tmpl w:val="AB7C5A08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3" w15:restartNumberingAfterBreak="0">
    <w:nsid w:val="484715E4"/>
    <w:multiLevelType w:val="hybridMultilevel"/>
    <w:tmpl w:val="936642CA"/>
    <w:lvl w:ilvl="0" w:tplc="93F6AE4E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D4FD4"/>
    <w:multiLevelType w:val="hybridMultilevel"/>
    <w:tmpl w:val="FD8A2A3C"/>
    <w:lvl w:ilvl="0" w:tplc="9E6E579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20163F"/>
    <w:multiLevelType w:val="hybridMultilevel"/>
    <w:tmpl w:val="B2A624DE"/>
    <w:lvl w:ilvl="0" w:tplc="B03EC9A8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C3FF1"/>
    <w:multiLevelType w:val="hybridMultilevel"/>
    <w:tmpl w:val="C30C5F10"/>
    <w:lvl w:ilvl="0" w:tplc="5C8E2B4C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C157D"/>
    <w:multiLevelType w:val="hybridMultilevel"/>
    <w:tmpl w:val="F4DA1A6A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1296359"/>
    <w:multiLevelType w:val="hybridMultilevel"/>
    <w:tmpl w:val="47D87C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55B4B9D"/>
    <w:multiLevelType w:val="hybridMultilevel"/>
    <w:tmpl w:val="35D4629C"/>
    <w:lvl w:ilvl="0" w:tplc="9558DD1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7643"/>
    <w:multiLevelType w:val="multilevel"/>
    <w:tmpl w:val="910E69B4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8464ABB"/>
    <w:multiLevelType w:val="hybridMultilevel"/>
    <w:tmpl w:val="34C27F3A"/>
    <w:lvl w:ilvl="0" w:tplc="4030E83A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D64435"/>
    <w:multiLevelType w:val="hybridMultilevel"/>
    <w:tmpl w:val="BCD26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A1C25F8"/>
    <w:multiLevelType w:val="hybridMultilevel"/>
    <w:tmpl w:val="8C9EF81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A8325D6"/>
    <w:multiLevelType w:val="multilevel"/>
    <w:tmpl w:val="56EE3FDA"/>
    <w:styleLink w:val="RTFNum3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5C0C7C64"/>
    <w:multiLevelType w:val="hybridMultilevel"/>
    <w:tmpl w:val="A44098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3626B63"/>
    <w:multiLevelType w:val="hybridMultilevel"/>
    <w:tmpl w:val="5002E0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4013A47"/>
    <w:multiLevelType w:val="hybridMultilevel"/>
    <w:tmpl w:val="311E9D82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6A9C2CE0"/>
    <w:multiLevelType w:val="hybridMultilevel"/>
    <w:tmpl w:val="75F6ED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B76629E"/>
    <w:multiLevelType w:val="hybridMultilevel"/>
    <w:tmpl w:val="F7AC199E"/>
    <w:lvl w:ilvl="0" w:tplc="14846A7C">
      <w:start w:val="1"/>
      <w:numFmt w:val="lowerLetter"/>
      <w:lvlText w:val="%1)"/>
      <w:lvlJc w:val="left"/>
      <w:pPr>
        <w:ind w:left="1069" w:hanging="360"/>
      </w:pPr>
      <w:rPr>
        <w:rFonts w:ascii="Bookman Old Style" w:eastAsia="SimSun" w:hAnsi="Bookman Old Style" w:cs="Times New Roman"/>
      </w:rPr>
    </w:lvl>
    <w:lvl w:ilvl="1" w:tplc="14846A7C">
      <w:start w:val="1"/>
      <w:numFmt w:val="lowerLetter"/>
      <w:lvlText w:val="%2)"/>
      <w:lvlJc w:val="left"/>
      <w:pPr>
        <w:ind w:left="1789" w:hanging="360"/>
      </w:pPr>
      <w:rPr>
        <w:rFonts w:ascii="Bookman Old Style" w:eastAsia="SimSun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D952DC3"/>
    <w:multiLevelType w:val="hybridMultilevel"/>
    <w:tmpl w:val="C9682BAC"/>
    <w:lvl w:ilvl="0" w:tplc="EFB249C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F03EC3"/>
    <w:multiLevelType w:val="hybridMultilevel"/>
    <w:tmpl w:val="F604B814"/>
    <w:lvl w:ilvl="0" w:tplc="04150019">
      <w:start w:val="1"/>
      <w:numFmt w:val="lowerLetter"/>
      <w:lvlText w:val="%1."/>
      <w:lvlJc w:val="left"/>
      <w:pPr>
        <w:ind w:left="943" w:hanging="375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2F293E"/>
    <w:multiLevelType w:val="hybridMultilevel"/>
    <w:tmpl w:val="C9684C28"/>
    <w:lvl w:ilvl="0" w:tplc="2E62BA4A">
      <w:start w:val="1"/>
      <w:numFmt w:val="lowerLetter"/>
      <w:lvlText w:val="%1."/>
      <w:lvlJc w:val="left"/>
      <w:pPr>
        <w:ind w:left="1069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F921276"/>
    <w:multiLevelType w:val="hybridMultilevel"/>
    <w:tmpl w:val="7BF61A3E"/>
    <w:lvl w:ilvl="0" w:tplc="3BF6A19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FA605DE"/>
    <w:multiLevelType w:val="hybridMultilevel"/>
    <w:tmpl w:val="8A66005E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76032EA4"/>
    <w:multiLevelType w:val="hybridMultilevel"/>
    <w:tmpl w:val="1494FA4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6573FD7"/>
    <w:multiLevelType w:val="hybridMultilevel"/>
    <w:tmpl w:val="A094BC9A"/>
    <w:lvl w:ilvl="0" w:tplc="17D230F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904A53"/>
    <w:multiLevelType w:val="hybridMultilevel"/>
    <w:tmpl w:val="5098532A"/>
    <w:lvl w:ilvl="0" w:tplc="EAEC0FFE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8C5719"/>
    <w:multiLevelType w:val="hybridMultilevel"/>
    <w:tmpl w:val="51C6B00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9337289"/>
    <w:multiLevelType w:val="hybridMultilevel"/>
    <w:tmpl w:val="230AA49C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7877F1"/>
    <w:multiLevelType w:val="hybridMultilevel"/>
    <w:tmpl w:val="44B2BA3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0"/>
  </w:num>
  <w:num w:numId="2">
    <w:abstractNumId w:val="44"/>
  </w:num>
  <w:num w:numId="3">
    <w:abstractNumId w:val="7"/>
  </w:num>
  <w:num w:numId="4">
    <w:abstractNumId w:val="35"/>
  </w:num>
  <w:num w:numId="5">
    <w:abstractNumId w:val="52"/>
  </w:num>
  <w:num w:numId="6">
    <w:abstractNumId w:val="57"/>
  </w:num>
  <w:num w:numId="7">
    <w:abstractNumId w:val="18"/>
  </w:num>
  <w:num w:numId="8">
    <w:abstractNumId w:val="34"/>
  </w:num>
  <w:num w:numId="9">
    <w:abstractNumId w:val="36"/>
  </w:num>
  <w:num w:numId="10">
    <w:abstractNumId w:val="29"/>
  </w:num>
  <w:num w:numId="11">
    <w:abstractNumId w:val="39"/>
  </w:num>
  <w:num w:numId="12">
    <w:abstractNumId w:val="50"/>
  </w:num>
  <w:num w:numId="13">
    <w:abstractNumId w:val="10"/>
  </w:num>
  <w:num w:numId="14">
    <w:abstractNumId w:val="6"/>
  </w:num>
  <w:num w:numId="15">
    <w:abstractNumId w:val="15"/>
  </w:num>
  <w:num w:numId="16">
    <w:abstractNumId w:val="8"/>
  </w:num>
  <w:num w:numId="17">
    <w:abstractNumId w:val="41"/>
  </w:num>
  <w:num w:numId="18">
    <w:abstractNumId w:val="53"/>
  </w:num>
  <w:num w:numId="19">
    <w:abstractNumId w:val="23"/>
  </w:num>
  <w:num w:numId="20">
    <w:abstractNumId w:val="56"/>
  </w:num>
  <w:num w:numId="21">
    <w:abstractNumId w:val="24"/>
  </w:num>
  <w:num w:numId="22">
    <w:abstractNumId w:val="3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33"/>
  </w:num>
  <w:num w:numId="58">
    <w:abstractNumId w:val="5"/>
  </w:num>
  <w:num w:numId="59">
    <w:abstractNumId w:val="0"/>
  </w:num>
  <w:num w:numId="60">
    <w:abstractNumId w:val="22"/>
  </w:num>
  <w:num w:numId="61">
    <w:abstractNumId w:val="11"/>
  </w:num>
  <w:num w:numId="62">
    <w:abstractNumId w:val="16"/>
  </w:num>
  <w:num w:numId="63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578F"/>
    <w:rsid w:val="0006591A"/>
    <w:rsid w:val="00132A18"/>
    <w:rsid w:val="00163C1A"/>
    <w:rsid w:val="001A01B7"/>
    <w:rsid w:val="001F25DD"/>
    <w:rsid w:val="00211EC6"/>
    <w:rsid w:val="00262650"/>
    <w:rsid w:val="00266EF5"/>
    <w:rsid w:val="00285034"/>
    <w:rsid w:val="002921CE"/>
    <w:rsid w:val="002C7C1D"/>
    <w:rsid w:val="002E5036"/>
    <w:rsid w:val="00346BA2"/>
    <w:rsid w:val="00371075"/>
    <w:rsid w:val="00382A5A"/>
    <w:rsid w:val="003A2960"/>
    <w:rsid w:val="003B7B12"/>
    <w:rsid w:val="003C1357"/>
    <w:rsid w:val="004115B4"/>
    <w:rsid w:val="004274D6"/>
    <w:rsid w:val="004926C5"/>
    <w:rsid w:val="0049615E"/>
    <w:rsid w:val="004A1CFD"/>
    <w:rsid w:val="004A6798"/>
    <w:rsid w:val="004D254F"/>
    <w:rsid w:val="004D57AF"/>
    <w:rsid w:val="005537F7"/>
    <w:rsid w:val="005619AC"/>
    <w:rsid w:val="0057316A"/>
    <w:rsid w:val="005B043D"/>
    <w:rsid w:val="005E0499"/>
    <w:rsid w:val="00627061"/>
    <w:rsid w:val="006331F5"/>
    <w:rsid w:val="00654833"/>
    <w:rsid w:val="007037AA"/>
    <w:rsid w:val="00732C71"/>
    <w:rsid w:val="007C21B5"/>
    <w:rsid w:val="007C4E55"/>
    <w:rsid w:val="007E4468"/>
    <w:rsid w:val="007F12EB"/>
    <w:rsid w:val="00845793"/>
    <w:rsid w:val="00896406"/>
    <w:rsid w:val="008B6461"/>
    <w:rsid w:val="0095236B"/>
    <w:rsid w:val="00990028"/>
    <w:rsid w:val="00992504"/>
    <w:rsid w:val="00A032A2"/>
    <w:rsid w:val="00A1168A"/>
    <w:rsid w:val="00A30976"/>
    <w:rsid w:val="00A743B6"/>
    <w:rsid w:val="00AD59D2"/>
    <w:rsid w:val="00B15394"/>
    <w:rsid w:val="00B46E03"/>
    <w:rsid w:val="00B618E4"/>
    <w:rsid w:val="00B6578F"/>
    <w:rsid w:val="00B9561B"/>
    <w:rsid w:val="00BA11CE"/>
    <w:rsid w:val="00C31379"/>
    <w:rsid w:val="00C408BD"/>
    <w:rsid w:val="00C715C2"/>
    <w:rsid w:val="00C75B15"/>
    <w:rsid w:val="00C952D9"/>
    <w:rsid w:val="00C96AD4"/>
    <w:rsid w:val="00CA7DFD"/>
    <w:rsid w:val="00CC66C5"/>
    <w:rsid w:val="00D7701E"/>
    <w:rsid w:val="00D859D0"/>
    <w:rsid w:val="00D92CE6"/>
    <w:rsid w:val="00D9357C"/>
    <w:rsid w:val="00DF15CE"/>
    <w:rsid w:val="00DF5D87"/>
    <w:rsid w:val="00E019F5"/>
    <w:rsid w:val="00E115FF"/>
    <w:rsid w:val="00E31D4D"/>
    <w:rsid w:val="00EA33B7"/>
    <w:rsid w:val="00EB62CF"/>
    <w:rsid w:val="00EC0FCE"/>
    <w:rsid w:val="00ED4518"/>
    <w:rsid w:val="00EE14DE"/>
    <w:rsid w:val="00EF757A"/>
    <w:rsid w:val="00F548B5"/>
    <w:rsid w:val="00F606F5"/>
    <w:rsid w:val="00F8259B"/>
    <w:rsid w:val="00FD3070"/>
    <w:rsid w:val="00FD576C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74DA"/>
  <w15:docId w15:val="{477F6FD1-62E8-4A1C-9894-D542B71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Standard"/>
    <w:next w:val="Standard"/>
    <w:pPr>
      <w:keepNext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odstawowy2">
    <w:name w:val="Body Text 2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ind w:firstLine="708"/>
      <w:jc w:val="both"/>
    </w:pPr>
    <w:rPr>
      <w:rFonts w:ascii="Arial" w:hAnsi="Arial" w:cs="Arial"/>
    </w:rPr>
  </w:style>
  <w:style w:type="paragraph" w:styleId="Tekstpodstawowy3">
    <w:name w:val="Body Text 3"/>
    <w:basedOn w:val="Standard"/>
    <w:pPr>
      <w:tabs>
        <w:tab w:val="left" w:pos="720"/>
      </w:tabs>
      <w:jc w:val="both"/>
    </w:pPr>
    <w:rPr>
      <w:sz w:val="26"/>
      <w:szCs w:val="26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anon-block">
    <w:name w:val="anon-block"/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8">
    <w:name w:val="RTF_Num 8"/>
    <w:basedOn w:val="Bezlisty"/>
    <w:pPr>
      <w:numPr>
        <w:numId w:val="1"/>
      </w:numPr>
    </w:pPr>
  </w:style>
  <w:style w:type="numbering" w:customStyle="1" w:styleId="RTFNum3">
    <w:name w:val="RTF_Num 3"/>
    <w:basedOn w:val="Bezlisty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1D4D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1D4D"/>
    <w:rPr>
      <w:szCs w:val="21"/>
    </w:rPr>
  </w:style>
  <w:style w:type="paragraph" w:customStyle="1" w:styleId="text-justify">
    <w:name w:val="text-justify"/>
    <w:basedOn w:val="Normalny"/>
    <w:rsid w:val="00E31D4D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rsid w:val="00990028"/>
    <w:pPr>
      <w:widowControl/>
      <w:suppressAutoHyphens w:val="0"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D770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701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D770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7701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13</Pages>
  <Words>2895</Words>
  <Characters>17375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Pięda</dc:creator>
  <cp:lastModifiedBy>Polańska-Ziobro Anna</cp:lastModifiedBy>
  <cp:revision>43</cp:revision>
  <cp:lastPrinted>2023-04-14T09:10:00Z</cp:lastPrinted>
  <dcterms:created xsi:type="dcterms:W3CDTF">2009-04-16T11:32:00Z</dcterms:created>
  <dcterms:modified xsi:type="dcterms:W3CDTF">2023-06-14T08:14:00Z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